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9E3D3C">
        <w:rPr>
          <w:rFonts w:ascii="Arial" w:eastAsia="Arial" w:hAnsi="Arial" w:cs="Arial"/>
          <w:b/>
          <w:bCs/>
          <w:sz w:val="22"/>
          <w:szCs w:val="22"/>
        </w:rPr>
        <w:t>31</w:t>
      </w:r>
      <w:r w:rsidRPr="0080082F">
        <w:rPr>
          <w:rFonts w:ascii="Arial" w:eastAsia="Arial" w:hAnsi="Arial" w:cs="Arial"/>
          <w:b/>
          <w:bCs/>
          <w:sz w:val="22"/>
          <w:szCs w:val="22"/>
        </w:rPr>
        <w:t>/</w:t>
      </w:r>
      <w:r w:rsidR="00575826" w:rsidRPr="0080082F">
        <w:rPr>
          <w:rFonts w:ascii="Arial" w:eastAsia="Arial" w:hAnsi="Arial" w:cs="Arial"/>
          <w:b/>
          <w:bCs/>
          <w:sz w:val="22"/>
          <w:szCs w:val="22"/>
        </w:rPr>
        <w:t>12</w:t>
      </w:r>
      <w:r w:rsidRPr="0080082F">
        <w:rPr>
          <w:rFonts w:ascii="Arial" w:eastAsia="Arial" w:hAnsi="Arial" w:cs="Arial"/>
          <w:b/>
          <w:bCs/>
          <w:sz w:val="22"/>
          <w:szCs w:val="22"/>
        </w:rPr>
        <w:t>/202</w:t>
      </w:r>
      <w:r w:rsidR="00001B58" w:rsidRPr="0080082F">
        <w:rPr>
          <w:rFonts w:ascii="Arial" w:eastAsia="Arial" w:hAnsi="Arial" w:cs="Arial"/>
          <w:b/>
          <w:bCs/>
          <w:sz w:val="22"/>
          <w:szCs w:val="22"/>
        </w:rPr>
        <w:t>5</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w:t>
      </w:r>
      <w:r w:rsidR="006726B9">
        <w:rPr>
          <w:rFonts w:ascii="Arial" w:eastAsia="Arial" w:hAnsi="Arial" w:cs="Arial"/>
          <w:b/>
          <w:sz w:val="22"/>
          <w:szCs w:val="22"/>
        </w:rPr>
        <w:t xml:space="preserve">       </w:t>
      </w:r>
      <w:r w:rsidR="00575826" w:rsidRPr="0080082F">
        <w:rPr>
          <w:rFonts w:ascii="Arial" w:eastAsia="Arial" w:hAnsi="Arial" w:cs="Arial"/>
          <w:b/>
          <w:sz w:val="22"/>
          <w:szCs w:val="22"/>
        </w:rPr>
        <w:t>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6726B9">
        <w:rPr>
          <w:rFonts w:ascii="Arial" w:eastAsia="Calibri" w:hAnsi="Arial" w:cs="Arial"/>
          <w:b/>
          <w:sz w:val="22"/>
          <w:szCs w:val="22"/>
        </w:rPr>
        <w:t>26399</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3136A">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75595C">
        <w:rPr>
          <w:rFonts w:ascii="Arial" w:eastAsia="SimSun" w:hAnsi="Arial" w:cs="Arial"/>
          <w:b/>
          <w:sz w:val="22"/>
          <w:szCs w:val="22"/>
          <w:highlight w:val="white"/>
        </w:rPr>
        <w:t>8</w:t>
      </w:r>
      <w:r w:rsidR="00D106A0">
        <w:rPr>
          <w:rFonts w:ascii="Arial" w:eastAsia="SimSun" w:hAnsi="Arial" w:cs="Arial"/>
          <w:b/>
          <w:sz w:val="22"/>
          <w:szCs w:val="22"/>
          <w:highlight w:val="white"/>
        </w:rPr>
        <w:t>3</w:t>
      </w:r>
    </w:p>
    <w:p w:rsidR="00D106A0" w:rsidRPr="00D106A0" w:rsidRDefault="009C2C0E" w:rsidP="00D106A0">
      <w:pPr>
        <w:keepNext/>
        <w:jc w:val="both"/>
        <w:rPr>
          <w:rFonts w:ascii="Arial" w:hAnsi="Arial" w:cs="Arial"/>
          <w:sz w:val="22"/>
          <w:szCs w:val="22"/>
        </w:rPr>
      </w:pPr>
      <w:r w:rsidRPr="00827311">
        <w:rPr>
          <w:rFonts w:ascii="Arial" w:hAnsi="Arial" w:cs="Arial"/>
          <w:b/>
          <w:bCs/>
          <w:sz w:val="22"/>
          <w:szCs w:val="22"/>
        </w:rPr>
        <w:t xml:space="preserve"> </w:t>
      </w:r>
      <w:r w:rsidR="0075595C" w:rsidRPr="00827311">
        <w:rPr>
          <w:rFonts w:ascii="Arial" w:hAnsi="Arial" w:cs="Arial"/>
          <w:b/>
          <w:bCs/>
          <w:sz w:val="22"/>
          <w:szCs w:val="22"/>
        </w:rPr>
        <w:t xml:space="preserve">  </w:t>
      </w:r>
      <w:r w:rsidR="00D106A0" w:rsidRPr="00D106A0">
        <w:rPr>
          <w:rFonts w:ascii="Arial" w:hAnsi="Arial" w:cs="Arial"/>
          <w:b/>
          <w:bCs/>
          <w:kern w:val="2"/>
          <w:sz w:val="22"/>
          <w:szCs w:val="22"/>
          <w:lang w:eastAsia="el-GR"/>
        </w:rPr>
        <w:t xml:space="preserve">Συγκρότηση επιτροπής εξέτασης – αξιολόγησης ενστάσεων &amp;  προσφυγών για τις   δημόσιες </w:t>
      </w:r>
      <w:r w:rsidR="00D106A0" w:rsidRPr="00D106A0">
        <w:rPr>
          <w:rFonts w:ascii="Arial" w:hAnsi="Arial" w:cs="Arial"/>
          <w:b/>
          <w:bCs/>
          <w:color w:val="000000"/>
          <w:kern w:val="2"/>
          <w:sz w:val="22"/>
          <w:szCs w:val="22"/>
          <w:lang w:eastAsia="el-GR"/>
        </w:rPr>
        <w:t>συμβάσεις προμηθειών και γενικών υπηρεσιών για το έτος 2026, βάσει του Ν. 4412/2016</w:t>
      </w:r>
      <w:r w:rsidR="00D106A0">
        <w:rPr>
          <w:rFonts w:ascii="Arial" w:hAnsi="Arial" w:cs="Arial"/>
          <w:b/>
          <w:bCs/>
          <w:color w:val="000000"/>
          <w:sz w:val="22"/>
          <w:szCs w:val="22"/>
          <w:lang w:eastAsia="el-GR"/>
        </w:rPr>
        <w:t>.</w:t>
      </w:r>
    </w:p>
    <w:p w:rsidR="00BD4028" w:rsidRPr="00BD4028" w:rsidRDefault="00BD4028" w:rsidP="00827311">
      <w:pPr>
        <w:rPr>
          <w:rFonts w:ascii="Arial" w:hAnsi="Arial" w:cs="Arial"/>
          <w:b/>
          <w:sz w:val="22"/>
          <w:szCs w:val="22"/>
          <w:lang w:eastAsia="el-GR"/>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Default="00E10218" w:rsidP="000F262B">
      <w:pPr>
        <w:pStyle w:val="ad"/>
        <w:spacing w:line="288" w:lineRule="auto"/>
        <w:ind w:left="-142" w:firstLine="142"/>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D106A0">
        <w:rPr>
          <w:rFonts w:ascii="Arial" w:eastAsia="Arial" w:hAnsi="Arial" w:cs="Arial"/>
          <w:sz w:val="22"/>
          <w:szCs w:val="22"/>
        </w:rPr>
        <w:t>5</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C37452">
        <w:rPr>
          <w:rFonts w:ascii="Arial" w:eastAsia="Arial" w:hAnsi="Arial" w:cs="Arial"/>
          <w:sz w:val="22"/>
          <w:szCs w:val="22"/>
        </w:rPr>
        <w:t xml:space="preserve">ην 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w:t>
      </w:r>
      <w:r w:rsidR="00C37452">
        <w:rPr>
          <w:rFonts w:ascii="Arial" w:eastAsia="Arial" w:hAnsi="Arial" w:cs="Arial"/>
          <w:sz w:val="22"/>
          <w:szCs w:val="22"/>
        </w:rPr>
        <w:t xml:space="preserve"> </w:t>
      </w:r>
      <w:proofErr w:type="spellStart"/>
      <w:r w:rsidR="00C37452">
        <w:rPr>
          <w:rFonts w:ascii="Arial" w:eastAsia="Arial" w:hAnsi="Arial" w:cs="Arial"/>
          <w:sz w:val="22"/>
          <w:szCs w:val="22"/>
        </w:rPr>
        <w:t>πρωτ</w:t>
      </w:r>
      <w:proofErr w:type="spellEnd"/>
      <w:r w:rsidR="00C37452">
        <w:rPr>
          <w:rFonts w:ascii="Arial" w:eastAsia="Arial" w:hAnsi="Arial" w:cs="Arial"/>
          <w:sz w:val="22"/>
          <w:szCs w:val="22"/>
        </w:rPr>
        <w:t>.</w:t>
      </w:r>
      <w:r w:rsidR="0075595C">
        <w:rPr>
          <w:rFonts w:ascii="Arial" w:eastAsia="Arial" w:hAnsi="Arial" w:cs="Arial"/>
          <w:sz w:val="22"/>
          <w:szCs w:val="22"/>
        </w:rPr>
        <w:t xml:space="preserve"> </w:t>
      </w:r>
      <w:r w:rsidR="006F6D39" w:rsidRPr="0080082F">
        <w:rPr>
          <w:rFonts w:ascii="Arial" w:eastAsia="Arial" w:hAnsi="Arial" w:cs="Arial"/>
          <w:sz w:val="22"/>
          <w:szCs w:val="22"/>
        </w:rPr>
        <w:t xml:space="preserve"> </w:t>
      </w:r>
      <w:r w:rsidR="00766CFD" w:rsidRPr="0080082F">
        <w:rPr>
          <w:rFonts w:ascii="Arial" w:eastAsia="Arial" w:hAnsi="Arial" w:cs="Arial"/>
          <w:sz w:val="22"/>
          <w:szCs w:val="22"/>
        </w:rPr>
        <w:t>2</w:t>
      </w:r>
      <w:r w:rsidR="0080082F">
        <w:rPr>
          <w:rFonts w:ascii="Arial" w:eastAsia="Arial" w:hAnsi="Arial" w:cs="Arial"/>
          <w:sz w:val="22"/>
          <w:szCs w:val="22"/>
        </w:rPr>
        <w:t>5</w:t>
      </w:r>
      <w:r w:rsidR="0075595C">
        <w:rPr>
          <w:rFonts w:ascii="Arial" w:eastAsia="Arial" w:hAnsi="Arial" w:cs="Arial"/>
          <w:sz w:val="22"/>
          <w:szCs w:val="22"/>
        </w:rPr>
        <w:t>7</w:t>
      </w:r>
      <w:r w:rsidR="00A832E7">
        <w:rPr>
          <w:rFonts w:ascii="Arial" w:eastAsia="Arial" w:hAnsi="Arial" w:cs="Arial"/>
          <w:sz w:val="22"/>
          <w:szCs w:val="22"/>
        </w:rPr>
        <w:t>8</w:t>
      </w:r>
      <w:r w:rsidR="00D106A0">
        <w:rPr>
          <w:rFonts w:ascii="Arial" w:eastAsia="Arial" w:hAnsi="Arial" w:cs="Arial"/>
          <w:sz w:val="22"/>
          <w:szCs w:val="22"/>
        </w:rPr>
        <w:t>4</w:t>
      </w:r>
      <w:r w:rsidR="002465A3" w:rsidRPr="0080082F">
        <w:rPr>
          <w:rFonts w:ascii="Arial" w:eastAsia="Arial" w:hAnsi="Arial" w:cs="Arial"/>
          <w:sz w:val="22"/>
          <w:szCs w:val="22"/>
        </w:rPr>
        <w:t>/</w:t>
      </w:r>
      <w:r w:rsidR="00BD4028" w:rsidRPr="00BD4028">
        <w:rPr>
          <w:rFonts w:ascii="Arial" w:eastAsia="Arial" w:hAnsi="Arial" w:cs="Arial"/>
          <w:sz w:val="22"/>
          <w:szCs w:val="22"/>
        </w:rPr>
        <w:t>1</w:t>
      </w:r>
      <w:r w:rsidR="0075595C">
        <w:rPr>
          <w:rFonts w:ascii="Arial" w:eastAsia="Arial" w:hAnsi="Arial" w:cs="Arial"/>
          <w:sz w:val="22"/>
          <w:szCs w:val="22"/>
        </w:rPr>
        <w:t>7</w:t>
      </w:r>
      <w:r w:rsidR="00805DCA" w:rsidRPr="0080082F">
        <w:rPr>
          <w:rFonts w:ascii="Arial" w:eastAsia="Arial" w:hAnsi="Arial" w:cs="Arial"/>
          <w:sz w:val="22"/>
          <w:szCs w:val="22"/>
        </w:rPr>
        <w:t>-</w:t>
      </w:r>
      <w:r w:rsidR="00766CFD" w:rsidRPr="0080082F">
        <w:rPr>
          <w:rFonts w:ascii="Arial" w:eastAsia="Arial" w:hAnsi="Arial" w:cs="Arial"/>
          <w:sz w:val="22"/>
          <w:szCs w:val="22"/>
        </w:rPr>
        <w:t>1</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001B58" w:rsidRPr="0080082F">
        <w:rPr>
          <w:rFonts w:ascii="Arial" w:eastAsia="Arial" w:hAnsi="Arial" w:cs="Arial"/>
          <w:sz w:val="22"/>
          <w:szCs w:val="22"/>
        </w:rPr>
        <w:t>5</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C37452">
        <w:rPr>
          <w:rFonts w:ascii="Arial" w:hAnsi="Arial" w:cs="Arial"/>
          <w:sz w:val="22"/>
          <w:szCs w:val="22"/>
        </w:rPr>
        <w:t xml:space="preserve">η εισήγηση </w:t>
      </w:r>
      <w:r w:rsidR="00771A72" w:rsidRPr="0080082F">
        <w:rPr>
          <w:rFonts w:ascii="Arial" w:hAnsi="Arial" w:cs="Arial"/>
          <w:sz w:val="22"/>
          <w:szCs w:val="22"/>
        </w:rPr>
        <w:t xml:space="preserve"> </w:t>
      </w:r>
      <w:r w:rsidR="0075595C">
        <w:rPr>
          <w:rFonts w:ascii="Arial" w:eastAsia="Arial" w:hAnsi="Arial" w:cs="Arial"/>
          <w:sz w:val="22"/>
          <w:szCs w:val="22"/>
        </w:rPr>
        <w:t>τ</w:t>
      </w:r>
      <w:r w:rsidR="00A832E7">
        <w:rPr>
          <w:rFonts w:ascii="Arial" w:eastAsia="Arial" w:hAnsi="Arial" w:cs="Arial"/>
          <w:sz w:val="22"/>
          <w:szCs w:val="22"/>
        </w:rPr>
        <w:t xml:space="preserve">ου Τμ. Προϋπολογισμού Λογιστηρίου &amp; Προμηθειών </w:t>
      </w:r>
      <w:r w:rsidR="0075595C">
        <w:rPr>
          <w:rFonts w:ascii="Arial" w:eastAsia="Arial" w:hAnsi="Arial" w:cs="Arial"/>
          <w:sz w:val="22"/>
          <w:szCs w:val="22"/>
        </w:rPr>
        <w:t xml:space="preserve"> του Δήμου  </w:t>
      </w:r>
      <w:proofErr w:type="spellStart"/>
      <w:r w:rsidR="0075595C">
        <w:rPr>
          <w:rFonts w:ascii="Arial" w:eastAsia="Arial" w:hAnsi="Arial" w:cs="Arial"/>
          <w:sz w:val="22"/>
          <w:szCs w:val="22"/>
        </w:rPr>
        <w:t>Λ</w:t>
      </w:r>
      <w:r w:rsidR="00BD4028">
        <w:rPr>
          <w:rFonts w:ascii="Arial" w:eastAsia="Arial" w:hAnsi="Arial" w:cs="Arial"/>
          <w:sz w:val="22"/>
          <w:szCs w:val="22"/>
        </w:rPr>
        <w:t>εβαδέων</w:t>
      </w:r>
      <w:proofErr w:type="spellEnd"/>
      <w:r w:rsidR="000F262B" w:rsidRPr="0080082F">
        <w:rPr>
          <w:rFonts w:ascii="Arial" w:eastAsia="Arial" w:hAnsi="Arial" w:cs="Arial"/>
          <w:sz w:val="22"/>
          <w:szCs w:val="22"/>
        </w:rPr>
        <w:t xml:space="preserve"> </w:t>
      </w:r>
      <w:r w:rsidR="00435754" w:rsidRPr="0080082F">
        <w:rPr>
          <w:rFonts w:ascii="Arial" w:eastAsia="Arial" w:hAnsi="Arial" w:cs="Arial"/>
          <w:sz w:val="22"/>
          <w:szCs w:val="22"/>
        </w:rPr>
        <w:t>στ</w:t>
      </w:r>
      <w:r w:rsidR="0075595C">
        <w:rPr>
          <w:rFonts w:ascii="Arial" w:eastAsia="Arial" w:hAnsi="Arial" w:cs="Arial"/>
          <w:sz w:val="22"/>
          <w:szCs w:val="22"/>
        </w:rPr>
        <w:t xml:space="preserve">ην </w:t>
      </w:r>
      <w:r w:rsidR="00C37452">
        <w:rPr>
          <w:rFonts w:ascii="Arial" w:eastAsia="Arial" w:hAnsi="Arial" w:cs="Arial"/>
          <w:sz w:val="22"/>
          <w:szCs w:val="22"/>
        </w:rPr>
        <w:t xml:space="preserve"> </w:t>
      </w:r>
      <w:r w:rsidR="00805DCA" w:rsidRPr="0080082F">
        <w:rPr>
          <w:rFonts w:ascii="Arial" w:eastAsia="Arial" w:hAnsi="Arial" w:cs="Arial"/>
          <w:sz w:val="22"/>
          <w:szCs w:val="22"/>
        </w:rPr>
        <w:t xml:space="preserve"> οποί</w:t>
      </w:r>
      <w:r w:rsidR="0075595C">
        <w:rPr>
          <w:rFonts w:ascii="Arial" w:eastAsia="Arial" w:hAnsi="Arial" w:cs="Arial"/>
          <w:sz w:val="22"/>
          <w:szCs w:val="22"/>
        </w:rPr>
        <w:t>α</w:t>
      </w:r>
      <w:r w:rsidR="00805DCA" w:rsidRPr="0080082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D106A0" w:rsidRDefault="00D106A0" w:rsidP="00D106A0">
      <w:pPr>
        <w:spacing w:line="276" w:lineRule="auto"/>
        <w:ind w:right="-57"/>
        <w:jc w:val="both"/>
        <w:rPr>
          <w:color w:val="000000"/>
          <w:highlight w:val="white"/>
        </w:rPr>
      </w:pPr>
    </w:p>
    <w:p w:rsidR="00D106A0" w:rsidRPr="00D106A0" w:rsidRDefault="00D106A0" w:rsidP="00D106A0">
      <w:pPr>
        <w:numPr>
          <w:ilvl w:val="0"/>
          <w:numId w:val="42"/>
        </w:numPr>
        <w:ind w:left="0" w:firstLine="0"/>
        <w:jc w:val="both"/>
        <w:rPr>
          <w:rFonts w:ascii="Arial" w:hAnsi="Arial" w:cs="Arial"/>
          <w:i/>
          <w:sz w:val="22"/>
          <w:szCs w:val="22"/>
        </w:rPr>
      </w:pPr>
      <w:r w:rsidRPr="00D106A0">
        <w:rPr>
          <w:rFonts w:ascii="Arial" w:hAnsi="Arial" w:cs="Arial"/>
          <w:i/>
          <w:sz w:val="22"/>
          <w:szCs w:val="22"/>
        </w:rPr>
        <w:t xml:space="preserve">Σύμφωνα με τις </w:t>
      </w:r>
      <w:r w:rsidRPr="00D106A0">
        <w:rPr>
          <w:rFonts w:ascii="Arial" w:hAnsi="Arial" w:cs="Arial"/>
          <w:b/>
          <w:bCs/>
          <w:i/>
          <w:sz w:val="22"/>
          <w:szCs w:val="22"/>
        </w:rPr>
        <w:t xml:space="preserve">παρ.1,2,3,4,6,7 &amp; 11α, 11ε </w:t>
      </w:r>
      <w:r w:rsidRPr="00D106A0">
        <w:rPr>
          <w:rFonts w:ascii="Arial" w:hAnsi="Arial" w:cs="Arial"/>
          <w:i/>
          <w:sz w:val="22"/>
          <w:szCs w:val="22"/>
        </w:rPr>
        <w:t xml:space="preserve">του </w:t>
      </w:r>
      <w:r w:rsidRPr="00D106A0">
        <w:rPr>
          <w:rFonts w:ascii="Arial" w:hAnsi="Arial" w:cs="Arial"/>
          <w:b/>
          <w:bCs/>
          <w:i/>
          <w:sz w:val="22"/>
          <w:szCs w:val="22"/>
        </w:rPr>
        <w:t>άρθρου 221  του Ν.4412/2016</w:t>
      </w:r>
      <w:r w:rsidRPr="00D106A0">
        <w:rPr>
          <w:rFonts w:ascii="Arial" w:hAnsi="Arial" w:cs="Arial"/>
          <w:i/>
          <w:sz w:val="22"/>
          <w:szCs w:val="22"/>
        </w:rPr>
        <w:t>:</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1.</w:t>
      </w:r>
      <w:r w:rsidRPr="00D106A0">
        <w:rPr>
          <w:rFonts w:ascii="Arial" w:hAnsi="Arial" w:cs="Arial"/>
          <w:i/>
          <w:sz w:val="22"/>
          <w:szCs w:val="22"/>
        </w:rPr>
        <w:t xml:space="preserve"> Στο πλαίσιο των διαδικασιών σύναψης Δημοσίων συμβάσεων, τα όργανα που γνωμοδοτούν προς τα αποφαινόμενα όργανα («γνωμοδοτικά όργανα»), έχουν ιδίως τις ακόλουθες αρμοδιότητες:</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α)</w:t>
      </w:r>
      <w:r w:rsidRPr="00D106A0">
        <w:rPr>
          <w:rFonts w:ascii="Arial" w:hAnsi="Arial" w:cs="Arial"/>
          <w:i/>
          <w:sz w:val="22"/>
          <w:szCs w:val="22"/>
        </w:rPr>
        <w:t xml:space="preserve"> αξιολογούν τις προσφορές ή αιτήσεις συμμετοχής των προσφερόντων ή υποψηφίων,</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β)</w:t>
      </w:r>
      <w:r w:rsidRPr="00D106A0">
        <w:rPr>
          <w:rFonts w:ascii="Arial" w:hAnsi="Arial" w:cs="Arial"/>
          <w:i/>
          <w:sz w:val="22"/>
          <w:szCs w:val="22"/>
        </w:rPr>
        <w:t xml:space="preserve"> ελέγχουν την καταλληλότητα των προσφερόντων ή υποψηφίων για τη συμμετοχή τους στη διαδικασία σύναψης δημόσιας σύμβασης,</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γ)</w:t>
      </w:r>
      <w:r w:rsidRPr="00D106A0">
        <w:rPr>
          <w:rFonts w:ascii="Arial" w:hAnsi="Arial" w:cs="Arial"/>
          <w:i/>
          <w:sz w:val="22"/>
          <w:szCs w:val="22"/>
        </w:rPr>
        <w:t xml:space="preserve"> ελέγχουν και αξιολογούν τις προσφορές,</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 xml:space="preserve">δ) </w:t>
      </w:r>
      <w:r w:rsidRPr="00D106A0">
        <w:rPr>
          <w:rFonts w:ascii="Arial" w:hAnsi="Arial" w:cs="Arial"/>
          <w:i/>
          <w:sz w:val="22"/>
          <w:szCs w:val="22"/>
        </w:rPr>
        <w:t>στο πλαίσιο ανταγωνιστική διαδικασίας με διαπραγμάτευση, ανταγωνιστικού διαλόγου ή σύμπραξης καινοτομίας, διαπραγματεύονται με τους προσφέροντες ή υποψηφίους,</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ε)</w:t>
      </w:r>
      <w:r w:rsidRPr="00D106A0">
        <w:rPr>
          <w:rFonts w:ascii="Arial" w:hAnsi="Arial" w:cs="Arial"/>
          <w:i/>
          <w:sz w:val="22"/>
          <w:szCs w:val="22"/>
        </w:rPr>
        <w:t xml:space="preserve"> εισηγούνται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στ)</w:t>
      </w:r>
      <w:r w:rsidRPr="00D106A0">
        <w:rPr>
          <w:rFonts w:ascii="Arial" w:hAnsi="Arial" w:cs="Arial"/>
          <w:i/>
          <w:sz w:val="22"/>
          <w:szCs w:val="22"/>
        </w:rPr>
        <w:t xml:space="preserve"> γνωμοδοτούν για κάθε άλλο θέμα που ανακύπτει κατά τη διαδικασία ανάθεσης,</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ζ)</w:t>
      </w:r>
      <w:r w:rsidRPr="00D106A0">
        <w:rPr>
          <w:rFonts w:ascii="Arial" w:hAnsi="Arial" w:cs="Arial"/>
          <w:i/>
          <w:sz w:val="22"/>
          <w:szCs w:val="22"/>
        </w:rPr>
        <w:t xml:space="preserve"> στο στάδιο της εκτέλεσης γνωμοδοτούν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και</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η)</w:t>
      </w:r>
      <w:r w:rsidRPr="00D106A0">
        <w:rPr>
          <w:rFonts w:ascii="Arial" w:hAnsi="Arial" w:cs="Arial"/>
          <w:i/>
          <w:sz w:val="22"/>
          <w:szCs w:val="22"/>
        </w:rPr>
        <w:t xml:space="preserve"> γνωμοδοτούν για τις προβλεπόμενες στον παρόντα νόμο ενστάσεις και προσφυγές που υποβάλλονται ενώπιον της αναθέτουσας αρχής ή της Προϊσταμένης Αρχής.  </w:t>
      </w:r>
      <w:r w:rsidRPr="00D106A0">
        <w:rPr>
          <w:rFonts w:ascii="Arial" w:hAnsi="Arial" w:cs="Arial"/>
          <w:i/>
          <w:color w:val="000000"/>
          <w:sz w:val="22"/>
          <w:szCs w:val="22"/>
        </w:rPr>
        <w:t xml:space="preserve">Η </w:t>
      </w:r>
      <w:proofErr w:type="spellStart"/>
      <w:r w:rsidRPr="00D106A0">
        <w:rPr>
          <w:rFonts w:ascii="Arial" w:hAnsi="Arial" w:cs="Arial"/>
          <w:i/>
          <w:color w:val="000000"/>
          <w:sz w:val="22"/>
          <w:szCs w:val="22"/>
        </w:rPr>
        <w:t>περ</w:t>
      </w:r>
      <w:proofErr w:type="spellEnd"/>
      <w:r w:rsidRPr="00D106A0">
        <w:rPr>
          <w:rFonts w:ascii="Arial" w:hAnsi="Arial" w:cs="Arial"/>
          <w:i/>
          <w:color w:val="000000"/>
          <w:sz w:val="22"/>
          <w:szCs w:val="22"/>
        </w:rPr>
        <w:t xml:space="preserve">. η' της παρ. 1 </w:t>
      </w:r>
      <w:r w:rsidRPr="00D106A0">
        <w:rPr>
          <w:rFonts w:ascii="Arial" w:hAnsi="Arial" w:cs="Arial"/>
          <w:i/>
          <w:color w:val="000000"/>
          <w:sz w:val="22"/>
          <w:szCs w:val="22"/>
        </w:rPr>
        <w:lastRenderedPageBreak/>
        <w:t xml:space="preserve">αντικαταστάθηκε από την παρ. 38 του άρθρου 107 του Ν. 4497/17 (ΦΕΚ 171/13.11.2017 τεύχος Α'). </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2.</w:t>
      </w:r>
      <w:r w:rsidRPr="00D106A0">
        <w:rPr>
          <w:rFonts w:ascii="Arial" w:hAnsi="Arial" w:cs="Arial"/>
          <w:i/>
          <w:sz w:val="22"/>
          <w:szCs w:val="22"/>
        </w:rPr>
        <w:t xml:space="preserve"> Κατά την άσκηση των αρμοδιοτήτων τους τα όργανα αυτά εκδίδουν γνώμη (συμπεριλαμβανομένης της βαθμολόγησης) μετά από ψηφοφορία επί των επικρατέστερων προτάσεων (π.χ. βαθμολόγησης). Η γνώμη (</w:t>
      </w:r>
      <w:proofErr w:type="spellStart"/>
      <w:r w:rsidRPr="00D106A0">
        <w:rPr>
          <w:rFonts w:ascii="Arial" w:hAnsi="Arial" w:cs="Arial"/>
          <w:i/>
          <w:sz w:val="22"/>
          <w:szCs w:val="22"/>
        </w:rPr>
        <w:t>π.χ</w:t>
      </w:r>
      <w:proofErr w:type="spellEnd"/>
      <w:r w:rsidRPr="00D106A0">
        <w:rPr>
          <w:rFonts w:ascii="Arial" w:hAnsi="Arial" w:cs="Arial"/>
          <w:i/>
          <w:sz w:val="22"/>
          <w:szCs w:val="22"/>
        </w:rPr>
        <w:t xml:space="preserve"> επί της βαθμολόγησης) του οργάνου είναι η πρόταση που συγκεντρώνει την πλειοψηφία των παρόντων. Δεν επιτρέπεται η γνώμη των οργάνων αυτών να προκύπτει από το μέσο όρο των προτάσεων.</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3.</w:t>
      </w:r>
      <w:r w:rsidRPr="00D106A0">
        <w:rPr>
          <w:rFonts w:ascii="Arial" w:hAnsi="Arial" w:cs="Arial"/>
          <w:i/>
          <w:sz w:val="22"/>
          <w:szCs w:val="22"/>
        </w:rPr>
        <w:t xml:space="preserve"> Με απόφαση της αναθέτουσας αρχής συγκροτούνται γνωμοδοτικά όργανα για συγκεκριμένη σύμβαση ή περισσότερες ή σε ετήσια βάση για τις συμβάσεις που συνάπτει η αναθέτουσα αρχή.  Η ύπαρξη οργάνων σε ετήσια βάση δεν αποκλείει τη συγκρότηση οργάνου συγκεκριμένης/ων σύμβασης ή συμβάσεων. Εφόσον τα όργανα συγκροτούνται σε ετήσια βάση, οι διαδικασίες σύναψης Δημοσίων συμβάσεων που δεν έχουν ολοκληρωθεί εντός του έτους, συνεχίζονται και </w:t>
      </w:r>
      <w:r w:rsidRPr="00D106A0">
        <w:rPr>
          <w:rStyle w:val="apple-style-span"/>
          <w:rFonts w:ascii="Arial" w:hAnsi="Arial" w:cs="Arial"/>
          <w:i/>
          <w:kern w:val="2"/>
          <w:sz w:val="22"/>
          <w:szCs w:val="22"/>
          <w:lang w:bidi="hi-IN"/>
        </w:rPr>
        <w:t>ο</w:t>
      </w:r>
      <w:r w:rsidRPr="00D106A0">
        <w:rPr>
          <w:rFonts w:ascii="Arial" w:hAnsi="Arial" w:cs="Arial"/>
          <w:i/>
          <w:sz w:val="22"/>
          <w:szCs w:val="22"/>
        </w:rPr>
        <w:t>λοκληρώνονται από το ίδιο όργανο. Στην περίπτωση της διενέργειας συγκεντρωτικών αγορών από ΚΑΑ, τα αντίστοιχα γνωμοδοτικά όργανα συγκροτούνται με απόφασή τους. Με τις αποφάσεις της παρούσας δύνανται να συγκροτούνται κατά περίπτωση και έκτακτες επιτροπές ή ομάδες εργασίας για την αντιμετώπιση ειδικών θεμάτων που αφορούν τις διαδικασίες σύναψης. Οι αποφάσεις συγκρότησης των γνωμοδοτικών οργάνων κοινοποιούνται στα μέλη αυτών και τους φορείς από τους οποίους αυτά προέρχονται.</w:t>
      </w:r>
    </w:p>
    <w:p w:rsidR="00D106A0" w:rsidRPr="00D106A0" w:rsidRDefault="00D106A0" w:rsidP="00D106A0">
      <w:pPr>
        <w:jc w:val="both"/>
        <w:rPr>
          <w:rFonts w:ascii="Arial" w:hAnsi="Arial" w:cs="Arial"/>
          <w:i/>
          <w:sz w:val="22"/>
          <w:szCs w:val="22"/>
        </w:rPr>
      </w:pPr>
      <w:r w:rsidRPr="00D106A0">
        <w:rPr>
          <w:rFonts w:ascii="Arial" w:hAnsi="Arial" w:cs="Arial"/>
          <w:b/>
          <w:bCs/>
          <w:i/>
          <w:sz w:val="22"/>
          <w:szCs w:val="22"/>
        </w:rPr>
        <w:t xml:space="preserve">4. </w:t>
      </w:r>
      <w:r w:rsidRPr="00D106A0">
        <w:rPr>
          <w:rFonts w:ascii="Arial" w:hAnsi="Arial" w:cs="Arial"/>
          <w:i/>
          <w:sz w:val="22"/>
          <w:szCs w:val="22"/>
        </w:rPr>
        <w:t>Με την απόφαση της παραγράφου 3 εξειδικεύονται οι αρμοδιότητες, ο αριθμός και οι ιδιότητες των μελών, η λειτουργία των οργάνων (επιτροπών κ.λπ.), καθώς και κάθε άλλο αναγκαίο θέμα σχετικά με τα ανωτέρω.</w:t>
      </w:r>
    </w:p>
    <w:p w:rsidR="00D106A0" w:rsidRPr="00D106A0" w:rsidRDefault="00D106A0" w:rsidP="00D106A0">
      <w:pPr>
        <w:jc w:val="both"/>
        <w:rPr>
          <w:rFonts w:ascii="Arial" w:hAnsi="Arial" w:cs="Arial"/>
          <w:i/>
          <w:sz w:val="22"/>
          <w:szCs w:val="22"/>
        </w:rPr>
      </w:pPr>
      <w:r w:rsidRPr="00D106A0">
        <w:rPr>
          <w:rFonts w:ascii="Arial" w:hAnsi="Arial" w:cs="Arial"/>
          <w:b/>
          <w:bCs/>
          <w:i/>
          <w:color w:val="000000"/>
          <w:sz w:val="22"/>
          <w:szCs w:val="22"/>
          <w:shd w:val="clear" w:color="auto" w:fill="FFFFFF"/>
        </w:rPr>
        <w:t xml:space="preserve">6. </w:t>
      </w:r>
      <w:r w:rsidRPr="00D106A0">
        <w:rPr>
          <w:rFonts w:ascii="Arial" w:hAnsi="Arial" w:cs="Arial"/>
          <w:i/>
          <w:color w:val="000000"/>
          <w:sz w:val="22"/>
          <w:szCs w:val="22"/>
          <w:shd w:val="clear" w:color="auto" w:fill="FFFFFF"/>
        </w:rPr>
        <w:t>Για τη συγκρότηση και τη λειτουργία των συλλογικών οργάνων στις αναθέτουσες αρχές, που εμπίπτουν στο πεδίο εφαρμογής του ν. 2690/1999 «Κώδικας Διοικητικής Διαδικασίας», εφαρμόζονται οι σχετικές διατάξεις του ως άνω νόμου.</w:t>
      </w:r>
    </w:p>
    <w:p w:rsidR="00D106A0" w:rsidRPr="00D106A0" w:rsidRDefault="00D106A0" w:rsidP="00D106A0">
      <w:pPr>
        <w:jc w:val="both"/>
        <w:rPr>
          <w:rFonts w:ascii="Arial" w:hAnsi="Arial" w:cs="Arial"/>
          <w:i/>
          <w:sz w:val="22"/>
          <w:szCs w:val="22"/>
        </w:rPr>
      </w:pPr>
      <w:r w:rsidRPr="00D106A0">
        <w:rPr>
          <w:rFonts w:ascii="Arial" w:hAnsi="Arial" w:cs="Arial"/>
          <w:b/>
          <w:bCs/>
          <w:i/>
          <w:color w:val="000000"/>
          <w:sz w:val="22"/>
          <w:szCs w:val="22"/>
          <w:shd w:val="clear" w:color="auto" w:fill="FFFFFF"/>
        </w:rPr>
        <w:t xml:space="preserve">7. </w:t>
      </w:r>
      <w:r w:rsidRPr="00D106A0">
        <w:rPr>
          <w:rFonts w:ascii="Arial" w:hAnsi="Arial" w:cs="Arial"/>
          <w:i/>
          <w:color w:val="000000"/>
          <w:sz w:val="22"/>
          <w:szCs w:val="22"/>
          <w:shd w:val="clear" w:color="auto" w:fill="FFFFFF"/>
        </w:rPr>
        <w:t xml:space="preserve">Στη σύνθεση των γνωμοδοτικών οργάνων του παρόντος άρθρου μετέχει υποχρεωτικά ένα μέλος του </w:t>
      </w:r>
      <w:proofErr w:type="spellStart"/>
      <w:r w:rsidRPr="00D106A0">
        <w:rPr>
          <w:rFonts w:ascii="Arial" w:hAnsi="Arial" w:cs="Arial"/>
          <w:i/>
          <w:color w:val="000000"/>
          <w:sz w:val="22"/>
          <w:szCs w:val="22"/>
          <w:shd w:val="clear" w:color="auto" w:fill="FFFFFF"/>
        </w:rPr>
        <w:t>Μη.Π.Υ.Δη.Συ</w:t>
      </w:r>
      <w:proofErr w:type="spellEnd"/>
      <w:r w:rsidRPr="00D106A0">
        <w:rPr>
          <w:rFonts w:ascii="Arial" w:hAnsi="Arial" w:cs="Arial"/>
          <w:i/>
          <w:color w:val="000000"/>
          <w:sz w:val="22"/>
          <w:szCs w:val="22"/>
          <w:shd w:val="clear" w:color="auto" w:fill="FFFFFF"/>
        </w:rPr>
        <w:t>. του άρθρου 344.</w:t>
      </w:r>
    </w:p>
    <w:p w:rsidR="00D106A0" w:rsidRPr="00D106A0" w:rsidRDefault="00D106A0" w:rsidP="00D106A0">
      <w:pPr>
        <w:jc w:val="both"/>
        <w:rPr>
          <w:rFonts w:ascii="Arial" w:hAnsi="Arial" w:cs="Arial"/>
          <w:i/>
          <w:sz w:val="22"/>
          <w:szCs w:val="22"/>
        </w:rPr>
      </w:pPr>
      <w:r w:rsidRPr="00D106A0">
        <w:rPr>
          <w:rFonts w:ascii="Arial" w:hAnsi="Arial" w:cs="Arial"/>
          <w:b/>
          <w:bCs/>
          <w:i/>
          <w:color w:val="000000"/>
          <w:sz w:val="22"/>
          <w:szCs w:val="22"/>
          <w:shd w:val="clear" w:color="auto" w:fill="FFFFFF"/>
        </w:rPr>
        <w:t xml:space="preserve">11. </w:t>
      </w:r>
      <w:r w:rsidRPr="00D106A0">
        <w:rPr>
          <w:rFonts w:ascii="Arial" w:hAnsi="Arial" w:cs="Arial"/>
          <w:i/>
          <w:color w:val="000000"/>
          <w:sz w:val="22"/>
          <w:szCs w:val="22"/>
          <w:shd w:val="clear" w:color="auto" w:fill="FFFFFF"/>
        </w:rPr>
        <w:t xml:space="preserve">Στις δημόσιες συμβάσεις προμηθειών και παροχής γενικών υπηρεσιών, πέραν των οριζόμενων στην παράγραφο 1, ισχύουν και τα ακόλουθα: </w:t>
      </w:r>
    </w:p>
    <w:p w:rsidR="00D106A0" w:rsidRPr="00D106A0" w:rsidRDefault="00D106A0" w:rsidP="00D106A0">
      <w:pPr>
        <w:jc w:val="both"/>
        <w:rPr>
          <w:rFonts w:ascii="Arial" w:hAnsi="Arial" w:cs="Arial"/>
          <w:i/>
          <w:sz w:val="22"/>
          <w:szCs w:val="22"/>
        </w:rPr>
      </w:pPr>
      <w:r w:rsidRPr="00D106A0">
        <w:rPr>
          <w:rFonts w:ascii="Arial" w:hAnsi="Arial" w:cs="Arial"/>
          <w:b/>
          <w:bCs/>
          <w:i/>
          <w:color w:val="000000"/>
          <w:sz w:val="22"/>
          <w:szCs w:val="22"/>
          <w:shd w:val="clear" w:color="auto" w:fill="FFFFFF"/>
        </w:rPr>
        <w:t>α)</w:t>
      </w:r>
      <w:r w:rsidRPr="00D106A0">
        <w:rPr>
          <w:rFonts w:ascii="Arial" w:hAnsi="Arial" w:cs="Arial"/>
          <w:i/>
          <w:color w:val="000000"/>
          <w:sz w:val="22"/>
          <w:szCs w:val="22"/>
          <w:shd w:val="clear" w:color="auto" w:fill="FFFFFF"/>
        </w:rPr>
        <w:t xml:space="preserve"> […] Για την εξέταση των προβλεπόμενων ενστάσεων που υποβάλλονται ενώπιον της αναθέτουσας αρχής, συγκροτείται χωριστό γνωμοδοτικό όργανο τριμελές ή πενταμελές (Επιτροπή αξιολόγησης ενστάσεων), τα μέλη του οποίου είναι διαφορετικά από τα μέλη του γνωμοδοτικού οργάνου που είναι αρμόδιο για τα υπόλοιπα θέματα που ανακύπτουν κατά τη διαδικασία ανάθεσης (αξιολόγησης προσφορών κ.λπ.). [..]</w:t>
      </w:r>
    </w:p>
    <w:p w:rsidR="00D106A0" w:rsidRPr="00D106A0" w:rsidRDefault="00D106A0" w:rsidP="00D106A0">
      <w:pPr>
        <w:pStyle w:val="ad"/>
        <w:tabs>
          <w:tab w:val="left" w:pos="390"/>
        </w:tabs>
        <w:rPr>
          <w:rFonts w:ascii="Arial" w:hAnsi="Arial" w:cs="Arial"/>
          <w:i/>
          <w:color w:val="000000"/>
          <w:sz w:val="22"/>
          <w:szCs w:val="22"/>
          <w:shd w:val="clear" w:color="auto" w:fill="FFFFFF"/>
        </w:rPr>
      </w:pPr>
      <w:r w:rsidRPr="00D106A0">
        <w:rPr>
          <w:rFonts w:ascii="Arial" w:hAnsi="Arial" w:cs="Arial"/>
          <w:b/>
          <w:bCs/>
          <w:i/>
          <w:color w:val="000000"/>
          <w:sz w:val="22"/>
          <w:szCs w:val="22"/>
        </w:rPr>
        <w:t xml:space="preserve">ε) </w:t>
      </w:r>
      <w:r w:rsidRPr="00D106A0">
        <w:rPr>
          <w:rFonts w:ascii="Arial" w:hAnsi="Arial" w:cs="Arial"/>
          <w:i/>
          <w:color w:val="000000"/>
          <w:sz w:val="22"/>
          <w:szCs w:val="22"/>
          <w:shd w:val="clear" w:color="auto" w:fill="FFFFFF"/>
        </w:rPr>
        <w:t>Τα γνωμοδοτικά όργανα της παρούσας παραγράφου συγκροτούνται από υπαλλήλους που υπηρετούν με οποιαδήποτε σχέση εργασίας στον φορέα που διενεργεί τον διαγωνισμό ή σε άλλο φορέα του δημοσίου τομέα και λειτουργούν σύμφωνα με τις γενικές διατάξεις περί συλλογικών οργάνων.</w:t>
      </w:r>
    </w:p>
    <w:p w:rsidR="00D106A0" w:rsidRPr="00D106A0" w:rsidRDefault="00D106A0" w:rsidP="00D106A0">
      <w:pPr>
        <w:numPr>
          <w:ilvl w:val="0"/>
          <w:numId w:val="43"/>
        </w:numPr>
        <w:ind w:left="0" w:firstLine="0"/>
        <w:jc w:val="both"/>
        <w:rPr>
          <w:rFonts w:ascii="Arial" w:hAnsi="Arial" w:cs="Arial"/>
          <w:i/>
          <w:sz w:val="22"/>
          <w:szCs w:val="22"/>
        </w:rPr>
      </w:pPr>
      <w:r w:rsidRPr="00D106A0">
        <w:rPr>
          <w:rFonts w:ascii="Arial" w:hAnsi="Arial" w:cs="Arial"/>
          <w:i/>
          <w:color w:val="000000"/>
          <w:sz w:val="22"/>
          <w:szCs w:val="22"/>
          <w:shd w:val="clear" w:color="auto" w:fill="FFFFFF"/>
        </w:rPr>
        <w:t xml:space="preserve">Με το </w:t>
      </w:r>
      <w:r w:rsidRPr="00D106A0">
        <w:rPr>
          <w:rFonts w:ascii="Arial" w:hAnsi="Arial" w:cs="Arial"/>
          <w:b/>
          <w:i/>
          <w:color w:val="000000"/>
          <w:sz w:val="22"/>
          <w:szCs w:val="22"/>
          <w:shd w:val="clear" w:color="auto" w:fill="FFFFFF"/>
        </w:rPr>
        <w:t>άρθρο 379 παρ.6 του Ν.4412/2016</w:t>
      </w:r>
      <w:r w:rsidRPr="00D106A0">
        <w:rPr>
          <w:rFonts w:ascii="Arial" w:hAnsi="Arial" w:cs="Arial"/>
          <w:i/>
          <w:color w:val="000000"/>
          <w:sz w:val="22"/>
          <w:szCs w:val="22"/>
          <w:shd w:val="clear" w:color="auto" w:fill="FFFFFF"/>
        </w:rPr>
        <w:t xml:space="preserve">, σχετικά με το </w:t>
      </w:r>
      <w:proofErr w:type="spellStart"/>
      <w:r w:rsidRPr="00D106A0">
        <w:rPr>
          <w:rFonts w:ascii="Arial" w:hAnsi="Arial" w:cs="Arial"/>
          <w:i/>
          <w:color w:val="000000"/>
          <w:sz w:val="22"/>
          <w:szCs w:val="22"/>
          <w:shd w:val="clear" w:color="auto" w:fill="FFFFFF"/>
        </w:rPr>
        <w:t>Μη.Π.Υ.Δη.Συ</w:t>
      </w:r>
      <w:proofErr w:type="spellEnd"/>
      <w:r w:rsidRPr="00D106A0">
        <w:rPr>
          <w:rFonts w:ascii="Arial" w:hAnsi="Arial" w:cs="Arial"/>
          <w:i/>
          <w:color w:val="000000"/>
          <w:sz w:val="22"/>
          <w:szCs w:val="22"/>
          <w:shd w:val="clear" w:color="auto" w:fill="FFFFFF"/>
        </w:rPr>
        <w:t xml:space="preserve">.: «Η ισχύς του πρώτου εδαφίου της παραγράφου 4 του άρθρου 344 αρχίζει έξι (6) μήνες μετά την έκδοση του προεδρικού διατάγματος του δεύτερου εδαφίου της ίδιας παραγράφου.» ενώ σύμφωνα με το </w:t>
      </w:r>
      <w:r w:rsidRPr="00D106A0">
        <w:rPr>
          <w:rFonts w:ascii="Arial" w:hAnsi="Arial" w:cs="Arial"/>
          <w:b/>
          <w:i/>
          <w:color w:val="000000"/>
          <w:sz w:val="22"/>
          <w:szCs w:val="22"/>
          <w:shd w:val="clear" w:color="auto" w:fill="FFFFFF"/>
        </w:rPr>
        <w:t>άρθρο 344 παρ.4 Ν.4412/2016</w:t>
      </w:r>
      <w:r w:rsidRPr="00D106A0">
        <w:rPr>
          <w:rFonts w:ascii="Arial" w:hAnsi="Arial" w:cs="Arial"/>
          <w:i/>
          <w:color w:val="000000"/>
          <w:sz w:val="22"/>
          <w:szCs w:val="22"/>
          <w:shd w:val="clear" w:color="auto" w:fill="FFFFFF"/>
        </w:rPr>
        <w:t>:</w:t>
      </w:r>
      <w:r w:rsidRPr="00D106A0">
        <w:rPr>
          <w:rFonts w:ascii="Arial" w:hAnsi="Arial" w:cs="Arial"/>
          <w:i/>
          <w:sz w:val="22"/>
          <w:szCs w:val="22"/>
        </w:rPr>
        <w:t xml:space="preserve"> «</w:t>
      </w:r>
      <w:r w:rsidRPr="00D106A0">
        <w:rPr>
          <w:rFonts w:ascii="Arial" w:hAnsi="Arial" w:cs="Arial"/>
          <w:i/>
          <w:color w:val="000000"/>
          <w:sz w:val="22"/>
          <w:szCs w:val="22"/>
          <w:shd w:val="clear" w:color="auto" w:fill="FFFFFF"/>
        </w:rPr>
        <w:t>Η υποχρέωση του πρώτου εδαφίου της παρούσας παρ. αναστέλλεται μέχρι την επαρκή λειτουργία του Μητρώου. Για τις ανάγκες του Ν.4412/16 η επαρκής λειτουργία του Μητρώου πιστοποιείται από το φορέα τήρησής του.»</w:t>
      </w:r>
    </w:p>
    <w:p w:rsidR="00D106A0" w:rsidRPr="00D106A0" w:rsidRDefault="00D106A0" w:rsidP="00D106A0">
      <w:pPr>
        <w:jc w:val="both"/>
        <w:rPr>
          <w:rFonts w:ascii="Arial" w:hAnsi="Arial" w:cs="Arial"/>
          <w:i/>
          <w:color w:val="000000"/>
          <w:sz w:val="22"/>
          <w:szCs w:val="22"/>
          <w:highlight w:val="white"/>
        </w:rPr>
      </w:pPr>
    </w:p>
    <w:p w:rsidR="00D106A0" w:rsidRPr="00D106A0" w:rsidRDefault="00D106A0" w:rsidP="00D106A0">
      <w:pPr>
        <w:pStyle w:val="ad"/>
        <w:tabs>
          <w:tab w:val="left" w:pos="390"/>
        </w:tabs>
        <w:jc w:val="center"/>
        <w:rPr>
          <w:rFonts w:ascii="Arial" w:hAnsi="Arial" w:cs="Arial"/>
          <w:b/>
          <w:bCs/>
          <w:i/>
          <w:color w:val="000000"/>
          <w:sz w:val="22"/>
          <w:szCs w:val="22"/>
        </w:rPr>
      </w:pPr>
      <w:r w:rsidRPr="00D106A0">
        <w:rPr>
          <w:rFonts w:ascii="Arial" w:hAnsi="Arial" w:cs="Arial"/>
          <w:b/>
          <w:bCs/>
          <w:i/>
          <w:color w:val="000000"/>
          <w:sz w:val="22"/>
          <w:szCs w:val="22"/>
          <w:highlight w:val="white"/>
        </w:rPr>
        <w:t>Κατόπιν των ανωτέρω και λαμβάνοντας υπόψη:</w:t>
      </w:r>
    </w:p>
    <w:p w:rsidR="00D106A0" w:rsidRPr="00D106A0" w:rsidRDefault="00D106A0" w:rsidP="00D106A0">
      <w:pPr>
        <w:pStyle w:val="ad"/>
        <w:tabs>
          <w:tab w:val="left" w:pos="390"/>
        </w:tabs>
        <w:jc w:val="center"/>
        <w:rPr>
          <w:rFonts w:ascii="Arial" w:hAnsi="Arial" w:cs="Arial"/>
          <w:i/>
          <w:sz w:val="22"/>
          <w:szCs w:val="22"/>
        </w:rPr>
      </w:pPr>
    </w:p>
    <w:p w:rsidR="00D106A0" w:rsidRPr="00D106A0" w:rsidRDefault="00D106A0" w:rsidP="00D106A0">
      <w:pPr>
        <w:numPr>
          <w:ilvl w:val="0"/>
          <w:numId w:val="43"/>
        </w:numPr>
        <w:tabs>
          <w:tab w:val="clear" w:pos="720"/>
          <w:tab w:val="left" w:pos="60"/>
          <w:tab w:val="left" w:pos="390"/>
        </w:tabs>
        <w:ind w:left="0" w:firstLine="0"/>
        <w:jc w:val="both"/>
        <w:rPr>
          <w:rFonts w:ascii="Arial" w:hAnsi="Arial" w:cs="Arial"/>
          <w:i/>
          <w:sz w:val="22"/>
          <w:szCs w:val="22"/>
        </w:rPr>
      </w:pPr>
      <w:r w:rsidRPr="00D106A0">
        <w:rPr>
          <w:rFonts w:ascii="Arial" w:hAnsi="Arial" w:cs="Arial"/>
          <w:i/>
          <w:sz w:val="22"/>
          <w:szCs w:val="22"/>
        </w:rPr>
        <w:t xml:space="preserve">Το άρθρο 72 παρ.1 του Ν.3852/2010, όπως </w:t>
      </w:r>
      <w:r w:rsidRPr="00D106A0">
        <w:rPr>
          <w:rFonts w:ascii="Arial" w:hAnsi="Arial" w:cs="Arial"/>
          <w:i/>
          <w:color w:val="000000"/>
          <w:sz w:val="22"/>
          <w:szCs w:val="22"/>
        </w:rPr>
        <w:t>αντικαταστάθηκε από την παρ. 1 του άρθρου    3 του Ν. 4623/19 (ΦΕΚ 134/09.08.2019 τεύχος Α’):</w:t>
      </w:r>
    </w:p>
    <w:p w:rsidR="00D106A0" w:rsidRPr="00D106A0" w:rsidRDefault="00D106A0" w:rsidP="00D106A0">
      <w:pPr>
        <w:tabs>
          <w:tab w:val="left" w:pos="60"/>
          <w:tab w:val="left" w:pos="390"/>
        </w:tabs>
        <w:jc w:val="both"/>
        <w:rPr>
          <w:rFonts w:ascii="Arial" w:hAnsi="Arial" w:cs="Arial"/>
          <w:i/>
          <w:sz w:val="22"/>
          <w:szCs w:val="22"/>
        </w:rPr>
      </w:pPr>
      <w:r w:rsidRPr="00D106A0">
        <w:rPr>
          <w:rFonts w:ascii="Arial" w:hAnsi="Arial" w:cs="Arial"/>
          <w:b/>
          <w:bCs/>
          <w:i/>
          <w:sz w:val="22"/>
          <w:szCs w:val="22"/>
        </w:rPr>
        <w:t>1.</w:t>
      </w:r>
      <w:r w:rsidRPr="00D106A0">
        <w:rPr>
          <w:rFonts w:ascii="Arial" w:hAnsi="Arial" w:cs="Arial"/>
          <w:i/>
          <w:sz w:val="22"/>
          <w:szCs w:val="22"/>
        </w:rPr>
        <w:t xml:space="preserve"> Η οικονομική (νυν δημοτική) επιτροπή είναι συλλογικό όργανο, αρμόδιο για τον έλεγχο και την παρακολούθηση της οικονομικής λειτουργίας του δήμου. Ειδικότερα, έχει τις ακόλουθες αποφασιστικές, ελεγκτικές και γνωμοδοτικές αρμοδιότητες: : […] </w:t>
      </w:r>
      <w:r w:rsidRPr="00D106A0">
        <w:rPr>
          <w:rFonts w:ascii="Arial" w:hAnsi="Arial" w:cs="Arial"/>
          <w:b/>
          <w:bCs/>
          <w:i/>
          <w:sz w:val="22"/>
          <w:szCs w:val="22"/>
        </w:rPr>
        <w:t>θ)</w:t>
      </w:r>
      <w:r w:rsidRPr="00D106A0">
        <w:rPr>
          <w:rFonts w:ascii="Arial" w:hAnsi="Arial" w:cs="Arial"/>
          <w:i/>
          <w:sz w:val="22"/>
          <w:szCs w:val="22"/>
        </w:rPr>
        <w:t xml:space="preserve">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w:t>
      </w:r>
    </w:p>
    <w:p w:rsidR="00D106A0" w:rsidRPr="00D106A0" w:rsidRDefault="00D106A0" w:rsidP="00D106A0">
      <w:pPr>
        <w:numPr>
          <w:ilvl w:val="0"/>
          <w:numId w:val="43"/>
        </w:numPr>
        <w:shd w:val="clear" w:color="auto" w:fill="FFFFFF"/>
        <w:tabs>
          <w:tab w:val="clear" w:pos="720"/>
          <w:tab w:val="left" w:pos="60"/>
          <w:tab w:val="left" w:pos="390"/>
        </w:tabs>
        <w:spacing w:line="240" w:lineRule="atLeast"/>
        <w:ind w:left="0" w:firstLine="0"/>
        <w:jc w:val="both"/>
        <w:rPr>
          <w:rFonts w:ascii="Arial" w:hAnsi="Arial" w:cs="Arial"/>
          <w:i/>
          <w:sz w:val="22"/>
          <w:szCs w:val="22"/>
        </w:rPr>
      </w:pPr>
      <w:r w:rsidRPr="00D106A0">
        <w:rPr>
          <w:rFonts w:ascii="Arial" w:hAnsi="Arial" w:cs="Arial"/>
          <w:i/>
          <w:color w:val="000000"/>
          <w:sz w:val="22"/>
          <w:szCs w:val="22"/>
          <w:highlight w:val="white"/>
        </w:rPr>
        <w:lastRenderedPageBreak/>
        <w:t xml:space="preserve">Την αναγκαιότητα συγκρότησης Επιτροπών </w:t>
      </w:r>
      <w:r w:rsidRPr="00D106A0">
        <w:rPr>
          <w:rStyle w:val="apple-style-span"/>
          <w:rFonts w:ascii="Arial" w:hAnsi="Arial" w:cs="Arial"/>
          <w:i/>
          <w:color w:val="000000"/>
          <w:sz w:val="22"/>
          <w:szCs w:val="22"/>
        </w:rPr>
        <w:t xml:space="preserve">περί </w:t>
      </w:r>
      <w:r w:rsidRPr="00D106A0">
        <w:rPr>
          <w:rStyle w:val="apple-style-span"/>
          <w:rFonts w:ascii="Arial" w:hAnsi="Arial" w:cs="Arial"/>
          <w:i/>
          <w:color w:val="000000"/>
          <w:sz w:val="22"/>
          <w:szCs w:val="22"/>
          <w:shd w:val="clear" w:color="auto" w:fill="FFFFFF"/>
        </w:rPr>
        <w:t>ενστάσεων διαδικασιών σύναψης δημοσίων συμβάσεων,</w:t>
      </w:r>
      <w:r w:rsidRPr="00D106A0">
        <w:rPr>
          <w:rFonts w:ascii="Arial" w:hAnsi="Arial" w:cs="Arial"/>
          <w:i/>
          <w:color w:val="000000"/>
          <w:sz w:val="22"/>
          <w:szCs w:val="22"/>
          <w:highlight w:val="white"/>
        </w:rPr>
        <w:t xml:space="preserve"> για το οικονομικό έτος 2026, βάσει του άρθρου 221 του Ν. 4412/2016 (ΦΕΚ Α' 147/8-8-2016) </w:t>
      </w:r>
    </w:p>
    <w:p w:rsidR="00D106A0" w:rsidRPr="00D106A0" w:rsidRDefault="00D106A0" w:rsidP="00D106A0">
      <w:pPr>
        <w:numPr>
          <w:ilvl w:val="0"/>
          <w:numId w:val="43"/>
        </w:numPr>
        <w:spacing w:line="240" w:lineRule="atLeast"/>
        <w:ind w:left="0" w:right="57" w:firstLine="0"/>
        <w:jc w:val="both"/>
        <w:rPr>
          <w:rFonts w:ascii="Arial" w:hAnsi="Arial" w:cs="Arial"/>
          <w:i/>
          <w:sz w:val="22"/>
          <w:szCs w:val="22"/>
        </w:rPr>
      </w:pPr>
      <w:r w:rsidRPr="00D106A0">
        <w:rPr>
          <w:rFonts w:ascii="Arial" w:hAnsi="Arial" w:cs="Arial"/>
          <w:i/>
          <w:sz w:val="22"/>
          <w:szCs w:val="22"/>
        </w:rPr>
        <w:t xml:space="preserve">Το γεγονός ότι, η Επιτροπή είναι αρμόδια για την εξέταση των προβλεπόμενων ενστάσεων και προσφυγών που υποβάλλονται ενώπιον της αναθέτουσας αρχής </w:t>
      </w:r>
      <w:r w:rsidRPr="00D106A0">
        <w:rPr>
          <w:rFonts w:ascii="Arial" w:hAnsi="Arial" w:cs="Arial"/>
          <w:i/>
          <w:color w:val="000000"/>
          <w:sz w:val="22"/>
          <w:szCs w:val="22"/>
          <w:shd w:val="clear" w:color="auto" w:fill="FFFFFF"/>
        </w:rPr>
        <w:t>ή της Προϊσταμένης Αρχής, κατά το στάδιο της ανάθεσης και εκτέλεσης και διαβίβαση αυτής προς το αρμόδιο αποφαινόμενο όργανο, προκειμένου να λάβει τη σχετική απόφαση</w:t>
      </w:r>
    </w:p>
    <w:p w:rsidR="00D106A0" w:rsidRPr="00D106A0" w:rsidRDefault="00D106A0" w:rsidP="00D106A0">
      <w:pPr>
        <w:numPr>
          <w:ilvl w:val="0"/>
          <w:numId w:val="43"/>
        </w:numPr>
        <w:spacing w:line="240" w:lineRule="atLeast"/>
        <w:ind w:left="0" w:right="57" w:firstLine="0"/>
        <w:jc w:val="both"/>
        <w:rPr>
          <w:rFonts w:ascii="Arial" w:hAnsi="Arial" w:cs="Arial"/>
          <w:i/>
          <w:sz w:val="22"/>
          <w:szCs w:val="22"/>
        </w:rPr>
      </w:pPr>
      <w:r w:rsidRPr="00D106A0">
        <w:rPr>
          <w:rFonts w:ascii="Arial" w:hAnsi="Arial" w:cs="Arial"/>
          <w:i/>
          <w:sz w:val="22"/>
          <w:szCs w:val="22"/>
        </w:rPr>
        <w:t xml:space="preserve">Το γεγονός ότι,  η Επιτροπή έχει ετήσια διάρκεια και  οι διαδικασίες σύναψης δημοσίων συμβάσεων που δεν θα έχουν ολοκληρωθεί εντός του έτους, θα συνεχιστούν και θα ολοκληρωθούν από το ίδιο όργανο. </w:t>
      </w:r>
    </w:p>
    <w:p w:rsidR="00D106A0" w:rsidRPr="00D106A0" w:rsidRDefault="00D106A0" w:rsidP="00D106A0">
      <w:pPr>
        <w:numPr>
          <w:ilvl w:val="0"/>
          <w:numId w:val="43"/>
        </w:numPr>
        <w:spacing w:line="240" w:lineRule="atLeast"/>
        <w:ind w:left="0" w:firstLine="0"/>
        <w:contextualSpacing/>
        <w:jc w:val="both"/>
        <w:rPr>
          <w:rStyle w:val="apple-style-span"/>
          <w:rFonts w:ascii="Arial" w:hAnsi="Arial" w:cs="Arial"/>
          <w:i/>
          <w:sz w:val="22"/>
          <w:szCs w:val="22"/>
        </w:rPr>
      </w:pPr>
      <w:r w:rsidRPr="00D106A0">
        <w:rPr>
          <w:rStyle w:val="apple-style-span"/>
          <w:rFonts w:ascii="Arial" w:hAnsi="Arial" w:cs="Arial"/>
          <w:i/>
          <w:sz w:val="22"/>
          <w:szCs w:val="22"/>
        </w:rPr>
        <w:t>Τους υπηρετούντες στο Δήμο υπαλλήλους, ανά κλάδο/ειδικότητα</w:t>
      </w:r>
    </w:p>
    <w:p w:rsidR="00D106A0" w:rsidRPr="00D106A0" w:rsidRDefault="00D106A0" w:rsidP="00D106A0">
      <w:pPr>
        <w:spacing w:line="360" w:lineRule="auto"/>
        <w:contextualSpacing/>
        <w:jc w:val="both"/>
        <w:rPr>
          <w:rStyle w:val="apple-style-span"/>
          <w:rFonts w:ascii="Arial" w:hAnsi="Arial" w:cs="Arial"/>
          <w:i/>
          <w:sz w:val="22"/>
          <w:szCs w:val="22"/>
        </w:rPr>
      </w:pPr>
    </w:p>
    <w:p w:rsidR="00D106A0" w:rsidRPr="00D106A0" w:rsidRDefault="00D106A0" w:rsidP="00D106A0">
      <w:pPr>
        <w:widowControl w:val="0"/>
        <w:spacing w:line="360" w:lineRule="auto"/>
        <w:ind w:right="57"/>
        <w:jc w:val="center"/>
        <w:rPr>
          <w:rStyle w:val="apple-style-span"/>
          <w:rFonts w:ascii="Arial" w:hAnsi="Arial" w:cs="Arial"/>
          <w:b/>
          <w:bCs/>
          <w:i/>
          <w:color w:val="000000"/>
          <w:sz w:val="22"/>
          <w:szCs w:val="22"/>
          <w:shd w:val="clear" w:color="auto" w:fill="FFFFFF"/>
        </w:rPr>
      </w:pPr>
      <w:r w:rsidRPr="00D106A0">
        <w:rPr>
          <w:rStyle w:val="apple-style-span"/>
          <w:rFonts w:ascii="Arial" w:hAnsi="Arial" w:cs="Arial"/>
          <w:b/>
          <w:bCs/>
          <w:i/>
          <w:color w:val="000000"/>
          <w:sz w:val="22"/>
          <w:szCs w:val="22"/>
          <w:shd w:val="clear" w:color="auto" w:fill="FFFFFF"/>
        </w:rPr>
        <w:t xml:space="preserve">Καλείται η Δημοτική Επιτροπή </w:t>
      </w:r>
    </w:p>
    <w:p w:rsidR="00D106A0" w:rsidRPr="00D106A0" w:rsidRDefault="00D106A0" w:rsidP="00D106A0">
      <w:pPr>
        <w:widowControl w:val="0"/>
        <w:spacing w:line="360" w:lineRule="auto"/>
        <w:ind w:right="57"/>
        <w:jc w:val="center"/>
        <w:rPr>
          <w:rStyle w:val="apple-style-span"/>
          <w:rFonts w:ascii="Arial" w:hAnsi="Arial" w:cs="Arial"/>
          <w:b/>
          <w:bCs/>
          <w:i/>
          <w:color w:val="000000"/>
          <w:sz w:val="22"/>
          <w:szCs w:val="22"/>
        </w:rPr>
      </w:pPr>
    </w:p>
    <w:p w:rsidR="00D106A0" w:rsidRPr="00D106A0" w:rsidRDefault="00D106A0" w:rsidP="00D106A0">
      <w:pPr>
        <w:widowControl w:val="0"/>
        <w:spacing w:line="240" w:lineRule="atLeast"/>
        <w:ind w:right="57"/>
        <w:jc w:val="both"/>
        <w:rPr>
          <w:rStyle w:val="apple-style-span"/>
          <w:rFonts w:ascii="Arial" w:hAnsi="Arial" w:cs="Arial"/>
          <w:i/>
          <w:color w:val="000000"/>
          <w:sz w:val="22"/>
          <w:szCs w:val="22"/>
          <w:lang w:eastAsia="el-GR"/>
        </w:rPr>
      </w:pPr>
      <w:r w:rsidRPr="00D106A0">
        <w:rPr>
          <w:rStyle w:val="apple-style-span"/>
          <w:rFonts w:ascii="Arial" w:hAnsi="Arial" w:cs="Arial"/>
          <w:i/>
          <w:sz w:val="22"/>
          <w:szCs w:val="22"/>
          <w:shd w:val="clear" w:color="auto" w:fill="FFFFFF"/>
        </w:rPr>
        <w:t>Να συγκροτήσει  για το έτος 2026 την Τριμελή Επιτροπή αξιολόγησης ενστάσεων διαδικασιών σύναψης δημοσίων συμβάσεων του Ν.4412/2016</w:t>
      </w:r>
      <w:r w:rsidRPr="00D106A0">
        <w:rPr>
          <w:rStyle w:val="apple-style-span"/>
          <w:rFonts w:ascii="Arial" w:hAnsi="Arial" w:cs="Arial"/>
          <w:i/>
          <w:color w:val="000000"/>
          <w:sz w:val="22"/>
          <w:szCs w:val="22"/>
        </w:rPr>
        <w:t xml:space="preserve"> και </w:t>
      </w:r>
      <w:r w:rsidRPr="00D106A0">
        <w:rPr>
          <w:rStyle w:val="apple-style-span"/>
          <w:rFonts w:ascii="Arial" w:hAnsi="Arial" w:cs="Arial"/>
          <w:i/>
          <w:color w:val="000000"/>
          <w:sz w:val="22"/>
          <w:szCs w:val="22"/>
          <w:lang w:eastAsia="el-GR"/>
        </w:rPr>
        <w:t>η οποία θα αποτελείται από τρία (3) τακτικά μέλη και τα αναπληρωματικά αυτών.</w:t>
      </w:r>
    </w:p>
    <w:p w:rsidR="00827311" w:rsidRDefault="00827311" w:rsidP="00827311">
      <w:pPr>
        <w:widowControl w:val="0"/>
        <w:spacing w:line="240" w:lineRule="atLeast"/>
        <w:jc w:val="both"/>
        <w:rPr>
          <w:rStyle w:val="apple-style-span"/>
          <w:rFonts w:ascii="Arial" w:hAnsi="Arial" w:cs="Arial"/>
          <w:i/>
          <w:color w:val="000000"/>
          <w:sz w:val="22"/>
          <w:szCs w:val="22"/>
          <w:lang w:eastAsia="el-GR"/>
        </w:rPr>
      </w:pPr>
    </w:p>
    <w:p w:rsidR="00827311" w:rsidRPr="00827311" w:rsidRDefault="00827311" w:rsidP="00827311">
      <w:pPr>
        <w:widowControl w:val="0"/>
        <w:spacing w:line="240" w:lineRule="atLeast"/>
        <w:jc w:val="both"/>
        <w:rPr>
          <w:rStyle w:val="apple-style-span"/>
          <w:rFonts w:ascii="Arial" w:hAnsi="Arial" w:cs="Arial"/>
          <w:i/>
          <w:color w:val="000000"/>
          <w:sz w:val="22"/>
          <w:szCs w:val="22"/>
          <w:lang w:eastAsia="el-GR"/>
        </w:rPr>
      </w:pPr>
    </w:p>
    <w:p w:rsidR="00CF078C" w:rsidRPr="00827311" w:rsidRDefault="00CF078C" w:rsidP="00CF078C">
      <w:pPr>
        <w:tabs>
          <w:tab w:val="left" w:pos="559"/>
          <w:tab w:val="left" w:pos="1555"/>
        </w:tabs>
        <w:rPr>
          <w:rFonts w:ascii="Arial" w:hAnsi="Arial" w:cs="Arial"/>
          <w:sz w:val="22"/>
          <w:szCs w:val="22"/>
        </w:rPr>
      </w:pPr>
      <w:r w:rsidRPr="00827311">
        <w:rPr>
          <w:rFonts w:ascii="Arial" w:eastAsia="Calibri" w:hAnsi="Arial" w:cs="Arial"/>
          <w:b/>
          <w:bCs/>
          <w:sz w:val="22"/>
          <w:szCs w:val="22"/>
        </w:rPr>
        <w:tab/>
      </w:r>
      <w:r w:rsidRPr="00827311">
        <w:rPr>
          <w:rFonts w:ascii="Arial" w:hAnsi="Arial" w:cs="Arial"/>
          <w:sz w:val="22"/>
          <w:szCs w:val="22"/>
        </w:rPr>
        <w:t xml:space="preserve">Στη συνέχεια ο </w:t>
      </w:r>
      <w:r w:rsidR="00514C0F" w:rsidRPr="00827311">
        <w:rPr>
          <w:rFonts w:ascii="Arial" w:hAnsi="Arial" w:cs="Arial"/>
          <w:sz w:val="22"/>
          <w:szCs w:val="22"/>
        </w:rPr>
        <w:t>Αντιπ</w:t>
      </w:r>
      <w:r w:rsidR="006A720C" w:rsidRPr="00827311">
        <w:rPr>
          <w:rFonts w:ascii="Arial" w:hAnsi="Arial" w:cs="Arial"/>
          <w:sz w:val="22"/>
          <w:szCs w:val="22"/>
        </w:rPr>
        <w:t>ρόεδρος κάλεσε</w:t>
      </w:r>
      <w:r w:rsidR="001E4C31" w:rsidRPr="00827311">
        <w:rPr>
          <w:rFonts w:ascii="Arial" w:hAnsi="Arial" w:cs="Arial"/>
          <w:sz w:val="22"/>
          <w:szCs w:val="22"/>
        </w:rPr>
        <w:t xml:space="preserve">  </w:t>
      </w:r>
      <w:r w:rsidRPr="00827311">
        <w:rPr>
          <w:rFonts w:ascii="Arial" w:hAnsi="Arial" w:cs="Arial"/>
          <w:sz w:val="22"/>
          <w:szCs w:val="22"/>
        </w:rPr>
        <w:t>τα μέλη να αποφασίσουν σχετικά.</w:t>
      </w:r>
    </w:p>
    <w:p w:rsidR="00BD4028" w:rsidRPr="00827311" w:rsidRDefault="00BD4028" w:rsidP="00CF078C">
      <w:pPr>
        <w:tabs>
          <w:tab w:val="left" w:pos="559"/>
          <w:tab w:val="left" w:pos="1555"/>
        </w:tabs>
        <w:rPr>
          <w:rFonts w:ascii="Arial" w:hAnsi="Arial" w:cs="Arial"/>
          <w:sz w:val="22"/>
          <w:szCs w:val="22"/>
        </w:rPr>
      </w:pPr>
    </w:p>
    <w:p w:rsidR="00BD4028" w:rsidRPr="00827311" w:rsidRDefault="00BD4028" w:rsidP="00CF078C">
      <w:pPr>
        <w:tabs>
          <w:tab w:val="left" w:pos="559"/>
          <w:tab w:val="left" w:pos="1555"/>
        </w:tabs>
        <w:rPr>
          <w:rFonts w:ascii="Arial" w:hAnsi="Arial" w:cs="Arial"/>
          <w:sz w:val="22"/>
          <w:szCs w:val="22"/>
        </w:rPr>
      </w:pPr>
    </w:p>
    <w:p w:rsidR="00CF078C" w:rsidRPr="00827311" w:rsidRDefault="00CF078C" w:rsidP="00CF078C">
      <w:pPr>
        <w:tabs>
          <w:tab w:val="left" w:pos="559"/>
          <w:tab w:val="left" w:pos="1555"/>
        </w:tabs>
        <w:rPr>
          <w:rFonts w:ascii="Arial" w:hAnsi="Arial" w:cs="Arial"/>
          <w:sz w:val="22"/>
          <w:szCs w:val="22"/>
        </w:rPr>
      </w:pPr>
    </w:p>
    <w:p w:rsidR="00CF078C" w:rsidRPr="00827311" w:rsidRDefault="00CF078C" w:rsidP="003E107E">
      <w:pPr>
        <w:tabs>
          <w:tab w:val="left" w:pos="0"/>
        </w:tabs>
        <w:spacing w:line="276" w:lineRule="auto"/>
        <w:jc w:val="both"/>
        <w:rPr>
          <w:rFonts w:ascii="Arial" w:eastAsia="Arial" w:hAnsi="Arial" w:cs="Arial"/>
          <w:b/>
          <w:kern w:val="1"/>
          <w:sz w:val="22"/>
          <w:szCs w:val="22"/>
          <w:lang w:bidi="hi-IN"/>
        </w:rPr>
      </w:pPr>
      <w:r w:rsidRPr="00827311">
        <w:rPr>
          <w:rFonts w:ascii="Arial" w:hAnsi="Arial" w:cs="Arial"/>
          <w:sz w:val="22"/>
          <w:szCs w:val="22"/>
        </w:rPr>
        <w:t xml:space="preserve">  </w:t>
      </w:r>
      <w:r w:rsidRPr="00827311">
        <w:rPr>
          <w:rFonts w:ascii="Arial" w:eastAsia="Arial" w:hAnsi="Arial" w:cs="Arial"/>
          <w:sz w:val="22"/>
          <w:szCs w:val="22"/>
        </w:rPr>
        <w:t xml:space="preserve">      </w:t>
      </w:r>
      <w:r w:rsidRPr="00827311">
        <w:rPr>
          <w:rFonts w:ascii="Arial" w:hAnsi="Arial" w:cs="Arial"/>
          <w:i/>
          <w:sz w:val="22"/>
          <w:szCs w:val="22"/>
        </w:rPr>
        <w:t xml:space="preserve"> </w:t>
      </w:r>
      <w:r w:rsidRPr="00827311">
        <w:rPr>
          <w:rFonts w:ascii="Arial" w:hAnsi="Arial" w:cs="Arial"/>
          <w:sz w:val="22"/>
          <w:szCs w:val="22"/>
        </w:rPr>
        <w:t xml:space="preserve">  </w:t>
      </w:r>
      <w:r w:rsidRPr="00827311">
        <w:rPr>
          <w:rFonts w:ascii="Arial" w:hAnsi="Arial" w:cs="Arial"/>
          <w:i/>
          <w:sz w:val="22"/>
          <w:szCs w:val="22"/>
        </w:rPr>
        <w:tab/>
      </w:r>
      <w:r w:rsidRPr="00827311">
        <w:rPr>
          <w:rFonts w:ascii="Arial" w:eastAsia="Arial" w:hAnsi="Arial" w:cs="Arial"/>
          <w:b/>
          <w:sz w:val="22"/>
          <w:szCs w:val="22"/>
        </w:rPr>
        <w:t xml:space="preserve">  </w:t>
      </w:r>
      <w:r w:rsidRPr="00827311">
        <w:rPr>
          <w:rFonts w:ascii="Arial" w:eastAsia="Arial" w:hAnsi="Arial" w:cs="Arial"/>
          <w:b/>
          <w:kern w:val="1"/>
          <w:sz w:val="22"/>
          <w:szCs w:val="22"/>
          <w:lang w:bidi="hi-IN"/>
        </w:rPr>
        <w:t>Η Δημοτική   Επιτροπή  λαμβάνοντας υπόψη :</w:t>
      </w:r>
    </w:p>
    <w:p w:rsidR="000F262B" w:rsidRPr="00827311" w:rsidRDefault="000F262B" w:rsidP="003E107E">
      <w:pPr>
        <w:tabs>
          <w:tab w:val="left" w:pos="0"/>
        </w:tabs>
        <w:spacing w:line="276" w:lineRule="auto"/>
        <w:jc w:val="both"/>
        <w:rPr>
          <w:rFonts w:ascii="Arial" w:eastAsia="Arial" w:hAnsi="Arial" w:cs="Arial"/>
          <w:b/>
          <w:kern w:val="1"/>
          <w:sz w:val="22"/>
          <w:szCs w:val="22"/>
          <w:lang w:bidi="hi-IN"/>
        </w:rPr>
      </w:pPr>
    </w:p>
    <w:p w:rsidR="00A832E7" w:rsidRPr="00827311" w:rsidRDefault="00A832E7" w:rsidP="00A832E7">
      <w:pPr>
        <w:pStyle w:val="ad"/>
        <w:spacing w:line="288" w:lineRule="auto"/>
        <w:rPr>
          <w:rFonts w:ascii="Arial" w:hAnsi="Arial" w:cs="Arial"/>
          <w:sz w:val="22"/>
          <w:szCs w:val="22"/>
        </w:rPr>
      </w:pPr>
      <w:r w:rsidRPr="00827311">
        <w:rPr>
          <w:rFonts w:ascii="Arial" w:hAnsi="Arial" w:cs="Arial"/>
          <w:sz w:val="22"/>
          <w:szCs w:val="22"/>
        </w:rPr>
        <w:t>-Τις διατάξεις του  άρθρου του άρθρου 75 του Ν. 3852/2010 όπως αυτό αντικαταστάθηκε από το άρθρο 77 του Ν. 4555/2018</w:t>
      </w:r>
    </w:p>
    <w:p w:rsidR="00A832E7" w:rsidRPr="00827311" w:rsidRDefault="00A832E7" w:rsidP="00A832E7">
      <w:pPr>
        <w:pStyle w:val="ad"/>
        <w:spacing w:line="288" w:lineRule="auto"/>
        <w:rPr>
          <w:rFonts w:ascii="Arial" w:hAnsi="Arial" w:cs="Arial"/>
          <w:sz w:val="22"/>
          <w:szCs w:val="22"/>
        </w:rPr>
      </w:pPr>
      <w:r w:rsidRPr="00827311">
        <w:rPr>
          <w:rFonts w:ascii="Arial" w:hAnsi="Arial" w:cs="Arial"/>
          <w:sz w:val="22"/>
          <w:szCs w:val="22"/>
        </w:rPr>
        <w:t xml:space="preserve"> -Τις διατάξεις του  άρθρου 74</w:t>
      </w:r>
      <w:r w:rsidRPr="00827311">
        <w:rPr>
          <w:rFonts w:ascii="Arial" w:hAnsi="Arial" w:cs="Arial"/>
          <w:sz w:val="22"/>
          <w:szCs w:val="22"/>
          <w:vertAlign w:val="superscript"/>
        </w:rPr>
        <w:t>Α</w:t>
      </w:r>
      <w:r w:rsidRPr="00827311">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832E7" w:rsidRPr="00827311" w:rsidRDefault="00A832E7" w:rsidP="00A832E7">
      <w:pPr>
        <w:rPr>
          <w:rFonts w:ascii="Arial" w:eastAsia="Verdana" w:hAnsi="Arial" w:cs="Arial"/>
          <w:sz w:val="22"/>
          <w:szCs w:val="22"/>
        </w:rPr>
      </w:pPr>
      <w:r w:rsidRPr="00827311">
        <w:rPr>
          <w:rFonts w:ascii="Arial" w:eastAsia="Verdana" w:hAnsi="Arial" w:cs="Arial"/>
          <w:sz w:val="22"/>
          <w:szCs w:val="22"/>
        </w:rPr>
        <w:t xml:space="preserve">-Το με αριθ. </w:t>
      </w:r>
      <w:proofErr w:type="spellStart"/>
      <w:r w:rsidRPr="00827311">
        <w:rPr>
          <w:rFonts w:ascii="Arial" w:eastAsia="Verdana" w:hAnsi="Arial" w:cs="Arial"/>
          <w:sz w:val="22"/>
          <w:szCs w:val="22"/>
        </w:rPr>
        <w:t>πρωτ</w:t>
      </w:r>
      <w:proofErr w:type="spellEnd"/>
      <w:r w:rsidRPr="00827311">
        <w:rPr>
          <w:rFonts w:ascii="Arial" w:eastAsia="Verdana" w:hAnsi="Arial" w:cs="Arial"/>
          <w:sz w:val="22"/>
          <w:szCs w:val="22"/>
        </w:rPr>
        <w:t xml:space="preserve">. </w:t>
      </w:r>
      <w:r w:rsidRPr="00827311">
        <w:rPr>
          <w:rFonts w:ascii="Arial" w:eastAsia="Arial" w:hAnsi="Arial" w:cs="Arial"/>
          <w:sz w:val="22"/>
          <w:szCs w:val="22"/>
        </w:rPr>
        <w:t>2578</w:t>
      </w:r>
      <w:r w:rsidR="00D106A0">
        <w:rPr>
          <w:rFonts w:ascii="Arial" w:eastAsia="Arial" w:hAnsi="Arial" w:cs="Arial"/>
          <w:sz w:val="22"/>
          <w:szCs w:val="22"/>
        </w:rPr>
        <w:t>4</w:t>
      </w:r>
      <w:r w:rsidRPr="00827311">
        <w:rPr>
          <w:rFonts w:ascii="Arial" w:eastAsia="Arial" w:hAnsi="Arial" w:cs="Arial"/>
          <w:sz w:val="22"/>
          <w:szCs w:val="22"/>
        </w:rPr>
        <w:t>/17</w:t>
      </w:r>
      <w:r w:rsidRPr="00827311">
        <w:rPr>
          <w:rFonts w:ascii="Arial" w:hAnsi="Arial" w:cs="Arial"/>
          <w:sz w:val="22"/>
          <w:szCs w:val="22"/>
        </w:rPr>
        <w:t>-12-202</w:t>
      </w:r>
      <w:r w:rsidR="008977A1">
        <w:rPr>
          <w:rFonts w:ascii="Arial" w:hAnsi="Arial" w:cs="Arial"/>
          <w:sz w:val="22"/>
          <w:szCs w:val="22"/>
        </w:rPr>
        <w:t>5</w:t>
      </w:r>
      <w:r w:rsidRPr="00827311">
        <w:rPr>
          <w:rFonts w:ascii="Arial" w:hAnsi="Arial" w:cs="Arial"/>
          <w:sz w:val="22"/>
          <w:szCs w:val="22"/>
        </w:rPr>
        <w:t xml:space="preserve">  </w:t>
      </w:r>
      <w:r w:rsidRPr="00827311">
        <w:rPr>
          <w:rFonts w:ascii="Arial" w:eastAsia="Verdana" w:hAnsi="Arial" w:cs="Arial"/>
          <w:sz w:val="22"/>
          <w:szCs w:val="22"/>
        </w:rPr>
        <w:t>έγγραφο του Τμ. Προϋπολογισμού , Λογιστηρίου &amp; Προμηθειών που διανεμήθηκε</w:t>
      </w:r>
    </w:p>
    <w:p w:rsidR="00A832E7" w:rsidRPr="00827311" w:rsidRDefault="00A832E7" w:rsidP="00A832E7">
      <w:pPr>
        <w:rPr>
          <w:rFonts w:ascii="Arial" w:eastAsia="Verdana" w:hAnsi="Arial" w:cs="Arial"/>
          <w:sz w:val="22"/>
          <w:szCs w:val="22"/>
        </w:rPr>
      </w:pPr>
      <w:r w:rsidRPr="00827311">
        <w:rPr>
          <w:rFonts w:ascii="Arial" w:eastAsia="Verdana" w:hAnsi="Arial" w:cs="Arial"/>
          <w:sz w:val="22"/>
          <w:szCs w:val="22"/>
        </w:rPr>
        <w:t>-</w:t>
      </w:r>
      <w:r w:rsidRPr="00827311">
        <w:rPr>
          <w:rFonts w:ascii="Arial" w:hAnsi="Arial" w:cs="Arial"/>
          <w:sz w:val="22"/>
          <w:szCs w:val="22"/>
        </w:rPr>
        <w:t xml:space="preserve"> Τον κατάλογο των υπηρετούντων στο Δήμο υπαλλήλων, ανά κλάδο/ειδικότητα</w:t>
      </w:r>
    </w:p>
    <w:p w:rsidR="00A832E7" w:rsidRPr="00827311" w:rsidRDefault="00A832E7" w:rsidP="00A832E7">
      <w:pPr>
        <w:rPr>
          <w:rFonts w:ascii="Arial" w:hAnsi="Arial" w:cs="Arial"/>
          <w:sz w:val="22"/>
          <w:szCs w:val="22"/>
        </w:rPr>
      </w:pPr>
      <w:r w:rsidRPr="00827311">
        <w:rPr>
          <w:rFonts w:ascii="Arial" w:hAnsi="Arial" w:cs="Arial"/>
          <w:sz w:val="22"/>
          <w:szCs w:val="22"/>
        </w:rPr>
        <w:t>-Την μεταξύ των μελών συζήτηση σύμφωνα με τα πρακτικά</w:t>
      </w:r>
    </w:p>
    <w:p w:rsidR="00A832E7" w:rsidRPr="00827311" w:rsidRDefault="00A832E7" w:rsidP="00A832E7">
      <w:pPr>
        <w:rPr>
          <w:rFonts w:ascii="Arial" w:hAnsi="Arial" w:cs="Arial"/>
          <w:sz w:val="22"/>
          <w:szCs w:val="22"/>
        </w:rPr>
      </w:pPr>
      <w:r w:rsidRPr="00827311">
        <w:rPr>
          <w:rFonts w:ascii="Arial" w:hAnsi="Arial" w:cs="Arial"/>
          <w:sz w:val="22"/>
          <w:szCs w:val="22"/>
        </w:rPr>
        <w:t>- την  ψήφο όλων των μελών της  Δημοτικής  Επιτροπής , όπως αυτή διατυπώθηκε και δηλώθηκε δια ζώσης στην συνεδρίαση</w:t>
      </w:r>
    </w:p>
    <w:p w:rsidR="00A832E7" w:rsidRPr="00827311" w:rsidRDefault="00A832E7" w:rsidP="00A832E7">
      <w:pPr>
        <w:rPr>
          <w:rFonts w:ascii="Arial" w:hAnsi="Arial" w:cs="Arial"/>
          <w:sz w:val="22"/>
          <w:szCs w:val="22"/>
        </w:rPr>
      </w:pPr>
    </w:p>
    <w:p w:rsidR="00A832E7" w:rsidRPr="00EF52E9" w:rsidRDefault="00A832E7" w:rsidP="00A832E7">
      <w:pPr>
        <w:rPr>
          <w:rFonts w:ascii="Arial" w:hAnsi="Arial" w:cs="Arial"/>
          <w:sz w:val="22"/>
          <w:szCs w:val="22"/>
        </w:rPr>
      </w:pPr>
    </w:p>
    <w:p w:rsidR="00A832E7" w:rsidRPr="00EF52E9" w:rsidRDefault="00A832E7" w:rsidP="00A832E7">
      <w:pPr>
        <w:rPr>
          <w:rFonts w:ascii="Arial" w:hAnsi="Arial" w:cs="Arial"/>
          <w:sz w:val="22"/>
          <w:szCs w:val="22"/>
        </w:rPr>
      </w:pPr>
    </w:p>
    <w:p w:rsidR="00A832E7" w:rsidRDefault="00A832E7" w:rsidP="00A832E7">
      <w:pPr>
        <w:rPr>
          <w:rFonts w:ascii="Arial" w:hAnsi="Arial" w:cs="Arial"/>
          <w:b/>
          <w:sz w:val="22"/>
          <w:szCs w:val="22"/>
        </w:rPr>
      </w:pPr>
      <w:r w:rsidRPr="00EF52E9">
        <w:rPr>
          <w:rFonts w:ascii="Arial" w:hAnsi="Arial" w:cs="Arial"/>
          <w:b/>
          <w:sz w:val="22"/>
          <w:szCs w:val="22"/>
        </w:rPr>
        <w:t xml:space="preserve">                                                ΑΠΟΦΑΣΙΖΕΙ  ΟΜΟΦΩΝΑ </w:t>
      </w:r>
    </w:p>
    <w:p w:rsidR="00A832E7" w:rsidRPr="00EF52E9" w:rsidRDefault="00A832E7" w:rsidP="00A832E7">
      <w:pPr>
        <w:rPr>
          <w:rFonts w:ascii="Arial" w:hAnsi="Arial" w:cs="Arial"/>
          <w:b/>
          <w:sz w:val="22"/>
          <w:szCs w:val="22"/>
        </w:rPr>
      </w:pPr>
    </w:p>
    <w:p w:rsidR="00A832E7" w:rsidRPr="00EF52E9" w:rsidRDefault="00A832E7" w:rsidP="00A832E7">
      <w:pPr>
        <w:rPr>
          <w:rFonts w:ascii="Arial" w:hAnsi="Arial" w:cs="Arial"/>
          <w:sz w:val="22"/>
          <w:szCs w:val="22"/>
        </w:rPr>
      </w:pPr>
      <w:r w:rsidRPr="00EF52E9">
        <w:rPr>
          <w:rFonts w:ascii="Arial" w:hAnsi="Arial" w:cs="Arial"/>
          <w:sz w:val="22"/>
          <w:szCs w:val="22"/>
        </w:rPr>
        <w:t xml:space="preserve">    </w:t>
      </w:r>
    </w:p>
    <w:p w:rsidR="00827311" w:rsidRPr="00D106A0" w:rsidRDefault="00827311" w:rsidP="00D106A0">
      <w:pPr>
        <w:keepNext/>
        <w:jc w:val="both"/>
        <w:rPr>
          <w:rStyle w:val="apple-style-span"/>
          <w:rFonts w:ascii="Arial" w:hAnsi="Arial" w:cs="Arial"/>
          <w:bCs/>
          <w:color w:val="000000"/>
          <w:sz w:val="22"/>
          <w:szCs w:val="22"/>
        </w:rPr>
      </w:pPr>
      <w:r w:rsidRPr="00D106A0">
        <w:rPr>
          <w:rFonts w:ascii="Arial" w:eastAsia="Liberation Serif" w:hAnsi="Arial" w:cs="Arial"/>
          <w:sz w:val="22"/>
          <w:szCs w:val="22"/>
        </w:rPr>
        <w:t xml:space="preserve">  Συγκροτεί</w:t>
      </w:r>
      <w:r w:rsidRPr="00D106A0">
        <w:rPr>
          <w:rFonts w:ascii="Arial" w:hAnsi="Arial" w:cs="Arial"/>
          <w:bCs/>
          <w:sz w:val="22"/>
          <w:szCs w:val="22"/>
        </w:rPr>
        <w:t xml:space="preserve"> για το έτος 2026  </w:t>
      </w:r>
      <w:r w:rsidRPr="00D106A0">
        <w:rPr>
          <w:rStyle w:val="apple-style-span"/>
          <w:rFonts w:ascii="Arial" w:hAnsi="Arial" w:cs="Arial"/>
          <w:sz w:val="22"/>
          <w:szCs w:val="22"/>
          <w:shd w:val="clear" w:color="auto" w:fill="FFFFFF"/>
        </w:rPr>
        <w:t xml:space="preserve">την Τριμελή Επιτροπή </w:t>
      </w:r>
      <w:r w:rsidR="00D106A0" w:rsidRPr="00D106A0">
        <w:rPr>
          <w:rFonts w:ascii="Arial" w:hAnsi="Arial" w:cs="Arial"/>
          <w:bCs/>
          <w:kern w:val="2"/>
          <w:sz w:val="22"/>
          <w:szCs w:val="22"/>
          <w:lang w:eastAsia="el-GR"/>
        </w:rPr>
        <w:t xml:space="preserve">εξέτασης – αξιολόγησης ενστάσεων &amp;  προσφυγών για τις   δημόσιες </w:t>
      </w:r>
      <w:r w:rsidR="00D106A0" w:rsidRPr="00D106A0">
        <w:rPr>
          <w:rFonts w:ascii="Arial" w:hAnsi="Arial" w:cs="Arial"/>
          <w:bCs/>
          <w:color w:val="000000"/>
          <w:kern w:val="2"/>
          <w:sz w:val="22"/>
          <w:szCs w:val="22"/>
          <w:lang w:eastAsia="el-GR"/>
        </w:rPr>
        <w:t>συμβάσεις προμηθειών και γενικών υπηρεσιών, βάσει του Ν. 4412/2016</w:t>
      </w:r>
      <w:r w:rsidR="00D106A0" w:rsidRPr="00D106A0">
        <w:rPr>
          <w:rFonts w:ascii="Arial" w:hAnsi="Arial" w:cs="Arial"/>
          <w:bCs/>
          <w:color w:val="000000"/>
          <w:sz w:val="22"/>
          <w:szCs w:val="22"/>
          <w:lang w:eastAsia="el-GR"/>
        </w:rPr>
        <w:t xml:space="preserve"> </w:t>
      </w:r>
      <w:r w:rsidR="00714065" w:rsidRPr="00D106A0">
        <w:rPr>
          <w:rFonts w:ascii="Arial" w:hAnsi="Arial" w:cs="Arial"/>
          <w:sz w:val="22"/>
          <w:szCs w:val="22"/>
        </w:rPr>
        <w:t xml:space="preserve">, </w:t>
      </w:r>
      <w:r w:rsidRPr="00D106A0">
        <w:rPr>
          <w:rStyle w:val="apple-style-span"/>
          <w:rFonts w:ascii="Arial" w:hAnsi="Arial" w:cs="Arial"/>
          <w:color w:val="000000"/>
          <w:sz w:val="22"/>
          <w:szCs w:val="22"/>
        </w:rPr>
        <w:t xml:space="preserve">και </w:t>
      </w:r>
      <w:r w:rsidRPr="00D106A0">
        <w:rPr>
          <w:rStyle w:val="apple-style-span"/>
          <w:rFonts w:ascii="Arial" w:hAnsi="Arial" w:cs="Arial"/>
          <w:color w:val="000000"/>
          <w:sz w:val="22"/>
          <w:szCs w:val="22"/>
          <w:lang w:eastAsia="el-GR"/>
        </w:rPr>
        <w:t>η οποία θα αποτελείται από τρία (3) τακτικά μέλη και τα αναπληρωματικά αυτών</w:t>
      </w:r>
      <w:r w:rsidRPr="00D106A0">
        <w:rPr>
          <w:rStyle w:val="apple-style-span"/>
          <w:rFonts w:ascii="Arial" w:hAnsi="Arial" w:cs="Arial"/>
          <w:bCs/>
          <w:color w:val="000000"/>
          <w:sz w:val="22"/>
          <w:szCs w:val="22"/>
        </w:rPr>
        <w:t xml:space="preserve"> ως παρακάτω:</w:t>
      </w:r>
    </w:p>
    <w:p w:rsidR="00827311" w:rsidRDefault="00827311" w:rsidP="00827311">
      <w:pPr>
        <w:tabs>
          <w:tab w:val="left" w:pos="559"/>
          <w:tab w:val="left" w:pos="1555"/>
        </w:tabs>
        <w:ind w:left="-709" w:firstLine="709"/>
        <w:jc w:val="both"/>
        <w:rPr>
          <w:rStyle w:val="apple-style-span"/>
          <w:rFonts w:ascii="Arial" w:hAnsi="Arial" w:cs="Arial"/>
          <w:bCs/>
          <w:color w:val="000000"/>
          <w:sz w:val="22"/>
          <w:szCs w:val="22"/>
        </w:rPr>
      </w:pPr>
    </w:p>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827311" w:rsidRPr="00034879" w:rsidTr="0030423A">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b/>
                <w:color w:val="000000"/>
                <w:sz w:val="22"/>
                <w:szCs w:val="22"/>
                <w:highlight w:val="white"/>
              </w:rPr>
            </w:pPr>
            <w:r w:rsidRPr="00034879">
              <w:rPr>
                <w:rFonts w:ascii="Arial" w:hAnsi="Arial" w:cs="Arial"/>
                <w:b/>
                <w:color w:val="000000"/>
                <w:sz w:val="22"/>
                <w:szCs w:val="22"/>
                <w:highlight w:val="white"/>
              </w:rPr>
              <w:t>ΤΑΚΤΙΚΑ ΜΕΛΗ</w:t>
            </w:r>
          </w:p>
        </w:tc>
      </w:tr>
      <w:tr w:rsidR="00827311"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ΙΔΙΟΤΗΤΑ</w:t>
            </w:r>
          </w:p>
        </w:tc>
      </w:tr>
      <w:tr w:rsidR="00827311"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1</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BF533F">
            <w:pPr>
              <w:pStyle w:val="af8"/>
              <w:spacing w:line="276" w:lineRule="auto"/>
              <w:rPr>
                <w:rFonts w:ascii="Arial" w:hAnsi="Arial" w:cs="Arial"/>
                <w:sz w:val="22"/>
                <w:szCs w:val="22"/>
              </w:rPr>
            </w:pPr>
            <w:r>
              <w:rPr>
                <w:rFonts w:ascii="Arial" w:hAnsi="Arial" w:cs="Arial"/>
                <w:sz w:val="22"/>
                <w:szCs w:val="22"/>
              </w:rPr>
              <w:t xml:space="preserve">    </w:t>
            </w:r>
            <w:r w:rsidR="00BF533F">
              <w:rPr>
                <w:rFonts w:ascii="Arial" w:hAnsi="Arial" w:cs="Arial"/>
                <w:sz w:val="22"/>
                <w:szCs w:val="22"/>
              </w:rPr>
              <w:t>ΧΑΤΖΟΠΟΥΛΟΣ</w:t>
            </w:r>
            <w:r w:rsidR="00827311">
              <w:rPr>
                <w:rFonts w:ascii="Arial" w:hAnsi="Arial" w:cs="Arial"/>
                <w:sz w:val="22"/>
                <w:szCs w:val="22"/>
              </w:rPr>
              <w:t xml:space="preserve"> </w:t>
            </w:r>
            <w:r w:rsidR="00827311" w:rsidRPr="00034879">
              <w:rPr>
                <w:rFonts w:ascii="Arial" w:hAnsi="Arial" w:cs="Arial"/>
                <w:sz w:val="22"/>
                <w:szCs w:val="22"/>
              </w:rPr>
              <w:t xml:space="preserve"> </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BF533F">
            <w:pPr>
              <w:pStyle w:val="af8"/>
              <w:spacing w:line="276" w:lineRule="auto"/>
              <w:rPr>
                <w:rFonts w:ascii="Arial" w:hAnsi="Arial" w:cs="Arial"/>
                <w:sz w:val="22"/>
                <w:szCs w:val="22"/>
              </w:rPr>
            </w:pPr>
            <w:r>
              <w:rPr>
                <w:rFonts w:ascii="Arial" w:hAnsi="Arial" w:cs="Arial"/>
                <w:sz w:val="22"/>
                <w:szCs w:val="22"/>
              </w:rPr>
              <w:t xml:space="preserve">  ΠΑΡΑΣΚΕΥΑΣ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rPr>
              <w:t>ΠΡΟΕΔΡΟΣ</w:t>
            </w:r>
          </w:p>
        </w:tc>
      </w:tr>
      <w:tr w:rsidR="00827311"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2</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BF533F">
            <w:pPr>
              <w:pStyle w:val="af8"/>
              <w:spacing w:line="276" w:lineRule="auto"/>
              <w:rPr>
                <w:rFonts w:ascii="Arial" w:hAnsi="Arial" w:cs="Arial"/>
                <w:sz w:val="22"/>
                <w:szCs w:val="22"/>
              </w:rPr>
            </w:pPr>
            <w:r>
              <w:rPr>
                <w:rFonts w:ascii="Arial" w:hAnsi="Arial" w:cs="Arial"/>
                <w:sz w:val="22"/>
                <w:szCs w:val="22"/>
              </w:rPr>
              <w:t xml:space="preserve">    </w:t>
            </w:r>
            <w:r w:rsidR="00BF533F">
              <w:rPr>
                <w:rFonts w:ascii="Arial" w:hAnsi="Arial" w:cs="Arial"/>
                <w:sz w:val="22"/>
                <w:szCs w:val="22"/>
              </w:rPr>
              <w:t>ΣΦΥΡΗΣ</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BF533F">
            <w:pPr>
              <w:pStyle w:val="af8"/>
              <w:spacing w:line="276" w:lineRule="auto"/>
              <w:rPr>
                <w:rFonts w:ascii="Arial" w:hAnsi="Arial" w:cs="Arial"/>
                <w:sz w:val="22"/>
                <w:szCs w:val="22"/>
              </w:rPr>
            </w:pPr>
            <w:r>
              <w:rPr>
                <w:rFonts w:ascii="Arial" w:hAnsi="Arial" w:cs="Arial"/>
                <w:sz w:val="22"/>
                <w:szCs w:val="22"/>
              </w:rPr>
              <w:t xml:space="preserve">  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ΜΕΛΟΣ</w:t>
            </w:r>
          </w:p>
        </w:tc>
      </w:tr>
      <w:tr w:rsidR="00827311" w:rsidRPr="00034879" w:rsidTr="0030423A">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lastRenderedPageBreak/>
              <w:t>3</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827311">
            <w:pPr>
              <w:pStyle w:val="af8"/>
              <w:spacing w:line="276" w:lineRule="auto"/>
              <w:rPr>
                <w:rFonts w:ascii="Arial" w:hAnsi="Arial" w:cs="Arial"/>
                <w:sz w:val="22"/>
                <w:szCs w:val="22"/>
              </w:rPr>
            </w:pPr>
            <w:r>
              <w:rPr>
                <w:rFonts w:ascii="Arial" w:hAnsi="Arial" w:cs="Arial"/>
                <w:sz w:val="22"/>
                <w:szCs w:val="22"/>
              </w:rPr>
              <w:t>ΑΓΓΕΛΟΠΟΥΛΟΥ</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BF533F">
            <w:pPr>
              <w:pStyle w:val="af8"/>
              <w:spacing w:line="276" w:lineRule="auto"/>
              <w:rPr>
                <w:rFonts w:ascii="Arial" w:hAnsi="Arial" w:cs="Arial"/>
                <w:sz w:val="22"/>
                <w:szCs w:val="22"/>
              </w:rPr>
            </w:pPr>
            <w:r>
              <w:rPr>
                <w:rFonts w:ascii="Arial" w:hAnsi="Arial" w:cs="Arial"/>
                <w:sz w:val="22"/>
                <w:szCs w:val="22"/>
              </w:rPr>
              <w:t xml:space="preserve">        Α</w:t>
            </w:r>
            <w:r w:rsidR="00BF533F">
              <w:rPr>
                <w:rFonts w:ascii="Arial" w:hAnsi="Arial" w:cs="Arial"/>
                <w:sz w:val="22"/>
                <w:szCs w:val="22"/>
              </w:rPr>
              <w:t>ΓΓΕΛΙΚΗ</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ΜΕΛΟΣ</w:t>
            </w:r>
          </w:p>
        </w:tc>
      </w:tr>
    </w:tbl>
    <w:p w:rsidR="00827311" w:rsidRPr="00034879" w:rsidRDefault="00827311" w:rsidP="00827311">
      <w:pPr>
        <w:jc w:val="both"/>
        <w:rPr>
          <w:rFonts w:ascii="Arial" w:hAnsi="Arial" w:cs="Arial"/>
          <w:sz w:val="22"/>
          <w:szCs w:val="22"/>
          <w:lang w:eastAsia="en-US"/>
        </w:rPr>
      </w:pPr>
    </w:p>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827311" w:rsidRPr="00034879" w:rsidTr="0030423A">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b/>
                <w:color w:val="000000"/>
                <w:sz w:val="22"/>
                <w:szCs w:val="22"/>
                <w:highlight w:val="white"/>
              </w:rPr>
            </w:pPr>
            <w:r w:rsidRPr="00034879">
              <w:rPr>
                <w:rFonts w:ascii="Arial" w:hAnsi="Arial" w:cs="Arial"/>
                <w:b/>
                <w:color w:val="000000"/>
                <w:sz w:val="22"/>
                <w:szCs w:val="22"/>
                <w:highlight w:val="white"/>
              </w:rPr>
              <w:t>ΑΝΑΠΛΗΡΩΜΑΤΙΚΑ ΜΕΛΗ</w:t>
            </w:r>
          </w:p>
        </w:tc>
      </w:tr>
      <w:tr w:rsidR="00BF533F"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ΙΔΙΟΤΗΤΑ</w:t>
            </w:r>
          </w:p>
        </w:tc>
      </w:tr>
      <w:tr w:rsidR="00BF533F"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1</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BF533F">
            <w:pPr>
              <w:pStyle w:val="af8"/>
              <w:spacing w:line="276" w:lineRule="auto"/>
              <w:rPr>
                <w:rFonts w:ascii="Arial" w:hAnsi="Arial" w:cs="Arial"/>
                <w:sz w:val="22"/>
                <w:szCs w:val="22"/>
              </w:rPr>
            </w:pPr>
            <w:r>
              <w:rPr>
                <w:rFonts w:ascii="Arial" w:hAnsi="Arial" w:cs="Arial"/>
                <w:sz w:val="22"/>
                <w:szCs w:val="22"/>
              </w:rPr>
              <w:t xml:space="preserve">          ΜΠΑΚΑΣ</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BF533F">
            <w:pPr>
              <w:pStyle w:val="af8"/>
              <w:spacing w:line="276" w:lineRule="auto"/>
              <w:rPr>
                <w:rFonts w:ascii="Arial" w:hAnsi="Arial" w:cs="Arial"/>
                <w:sz w:val="22"/>
                <w:szCs w:val="22"/>
              </w:rPr>
            </w:pPr>
            <w:r>
              <w:rPr>
                <w:rFonts w:ascii="Arial" w:hAnsi="Arial" w:cs="Arial"/>
                <w:sz w:val="22"/>
                <w:szCs w:val="22"/>
              </w:rPr>
              <w:t>ΒΑΣΙΛΕΙΟΣ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spacing w:after="200" w:line="276" w:lineRule="auto"/>
              <w:jc w:val="center"/>
              <w:rPr>
                <w:rFonts w:ascii="Arial" w:hAnsi="Arial" w:cs="Arial"/>
                <w:sz w:val="22"/>
                <w:szCs w:val="22"/>
                <w:lang w:eastAsia="en-US"/>
              </w:rPr>
            </w:pPr>
            <w:r w:rsidRPr="00034879">
              <w:rPr>
                <w:rFonts w:ascii="Arial" w:hAnsi="Arial" w:cs="Arial"/>
                <w:color w:val="000000"/>
                <w:sz w:val="22"/>
                <w:szCs w:val="22"/>
                <w:highlight w:val="white"/>
              </w:rPr>
              <w:t>ΑΝΑΠΛ. ΠΡΟΕΔΡΟ</w:t>
            </w:r>
            <w:r w:rsidRPr="00034879">
              <w:rPr>
                <w:rFonts w:ascii="Arial" w:hAnsi="Arial" w:cs="Arial"/>
                <w:color w:val="000000"/>
                <w:sz w:val="22"/>
                <w:szCs w:val="22"/>
              </w:rPr>
              <w:t>Υ</w:t>
            </w:r>
          </w:p>
        </w:tc>
      </w:tr>
      <w:tr w:rsidR="00BF533F"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2</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BF533F">
            <w:pPr>
              <w:pStyle w:val="af8"/>
              <w:spacing w:line="276" w:lineRule="auto"/>
              <w:rPr>
                <w:rFonts w:ascii="Arial" w:hAnsi="Arial" w:cs="Arial"/>
                <w:sz w:val="22"/>
                <w:szCs w:val="22"/>
              </w:rPr>
            </w:pPr>
            <w:r>
              <w:rPr>
                <w:rFonts w:ascii="Arial" w:hAnsi="Arial" w:cs="Arial"/>
                <w:sz w:val="22"/>
                <w:szCs w:val="22"/>
              </w:rPr>
              <w:t xml:space="preserve">          ΤΣΙΦΗΣ</w:t>
            </w:r>
            <w:r w:rsidR="00827311" w:rsidRPr="00034879">
              <w:rPr>
                <w:rFonts w:ascii="Arial" w:hAnsi="Arial" w:cs="Arial"/>
                <w:sz w:val="22"/>
                <w:szCs w:val="22"/>
              </w:rPr>
              <w:t xml:space="preserve"> </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BF533F">
            <w:pPr>
              <w:pStyle w:val="af8"/>
              <w:spacing w:line="276" w:lineRule="auto"/>
              <w:rPr>
                <w:rFonts w:ascii="Arial" w:hAnsi="Arial" w:cs="Arial"/>
                <w:sz w:val="22"/>
                <w:szCs w:val="22"/>
              </w:rPr>
            </w:pPr>
            <w:r>
              <w:rPr>
                <w:rFonts w:ascii="Arial" w:hAnsi="Arial" w:cs="Arial"/>
                <w:sz w:val="22"/>
                <w:szCs w:val="22"/>
              </w:rPr>
              <w:t>ΔΗΜΗΤΡΙΟΣ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ΑΝΑΠΛ. ΜΕΛΟΣ</w:t>
            </w:r>
          </w:p>
        </w:tc>
      </w:tr>
      <w:tr w:rsidR="00BF533F" w:rsidRPr="00034879" w:rsidTr="0030423A">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3</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B5626F" w:rsidP="00B5626F">
            <w:pPr>
              <w:pStyle w:val="af8"/>
              <w:spacing w:line="276" w:lineRule="auto"/>
              <w:rPr>
                <w:rFonts w:ascii="Arial" w:hAnsi="Arial" w:cs="Arial"/>
                <w:sz w:val="22"/>
                <w:szCs w:val="22"/>
              </w:rPr>
            </w:pPr>
            <w:r>
              <w:rPr>
                <w:rFonts w:ascii="Arial" w:hAnsi="Arial" w:cs="Arial"/>
                <w:sz w:val="22"/>
                <w:szCs w:val="22"/>
              </w:rPr>
              <w:t xml:space="preserve">         </w:t>
            </w:r>
            <w:r w:rsidR="00BF533F">
              <w:rPr>
                <w:rFonts w:ascii="Arial" w:hAnsi="Arial" w:cs="Arial"/>
                <w:sz w:val="22"/>
                <w:szCs w:val="22"/>
              </w:rPr>
              <w:t>ΣΑΝΙΔΑΣ</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BF533F" w:rsidP="00BF533F">
            <w:pPr>
              <w:pStyle w:val="af8"/>
              <w:spacing w:line="276" w:lineRule="auto"/>
              <w:rPr>
                <w:rFonts w:ascii="Arial" w:hAnsi="Arial" w:cs="Arial"/>
                <w:sz w:val="22"/>
                <w:szCs w:val="22"/>
              </w:rPr>
            </w:pPr>
            <w:r>
              <w:rPr>
                <w:rFonts w:ascii="Arial" w:hAnsi="Arial" w:cs="Arial"/>
                <w:sz w:val="22"/>
                <w:szCs w:val="22"/>
              </w:rPr>
              <w:t>ΧΑΡΑΛΑΜΠΟΣ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ΑΝΑΠΛ. ΜΕΛΟΣ</w:t>
            </w:r>
          </w:p>
        </w:tc>
      </w:tr>
    </w:tbl>
    <w:p w:rsidR="00827311" w:rsidRPr="002467D7" w:rsidRDefault="00827311" w:rsidP="00827311">
      <w:pPr>
        <w:ind w:left="808"/>
        <w:jc w:val="both"/>
        <w:rPr>
          <w:rFonts w:ascii="Arial" w:hAnsi="Arial" w:cs="Arial"/>
          <w:b/>
          <w:sz w:val="20"/>
          <w:szCs w:val="20"/>
        </w:rPr>
      </w:pPr>
    </w:p>
    <w:p w:rsidR="00827311" w:rsidRDefault="00827311" w:rsidP="00A832E7">
      <w:pPr>
        <w:rPr>
          <w:rFonts w:ascii="Arial" w:hAnsi="Arial" w:cs="Arial"/>
          <w:sz w:val="22"/>
          <w:szCs w:val="22"/>
        </w:rPr>
      </w:pPr>
    </w:p>
    <w:p w:rsidR="00827311" w:rsidRDefault="00827311" w:rsidP="00A832E7">
      <w:pPr>
        <w:rPr>
          <w:rFonts w:ascii="Arial" w:hAnsi="Arial" w:cs="Arial"/>
          <w:sz w:val="22"/>
          <w:szCs w:val="22"/>
        </w:rPr>
      </w:pPr>
    </w:p>
    <w:p w:rsidR="008B66C5" w:rsidRPr="005D4D41" w:rsidRDefault="008B66C5" w:rsidP="002069A0">
      <w:pPr>
        <w:jc w:val="both"/>
        <w:rPr>
          <w:rFonts w:ascii="Arial" w:hAnsi="Arial" w:cs="Arial"/>
          <w:spacing w:val="-3"/>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397FE8">
        <w:rPr>
          <w:rFonts w:ascii="Arial" w:hAnsi="Arial" w:cs="Arial"/>
          <w:b/>
          <w:sz w:val="22"/>
          <w:szCs w:val="22"/>
        </w:rPr>
        <w:t>8</w:t>
      </w:r>
      <w:r w:rsidR="00BF533F">
        <w:rPr>
          <w:rFonts w:ascii="Arial" w:hAnsi="Arial" w:cs="Arial"/>
          <w:b/>
          <w:sz w:val="22"/>
          <w:szCs w:val="22"/>
        </w:rPr>
        <w:t>3</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B91989"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7F0DB6">
        <w:rPr>
          <w:rFonts w:ascii="Arial" w:hAnsi="Arial" w:cs="Arial"/>
          <w:sz w:val="22"/>
          <w:szCs w:val="22"/>
        </w:rPr>
        <w:t>31</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275E73" w:rsidRPr="0080082F" w:rsidRDefault="00275E73" w:rsidP="00583DEF">
      <w:pPr>
        <w:spacing w:line="360" w:lineRule="auto"/>
        <w:ind w:hanging="432"/>
        <w:rPr>
          <w:rFonts w:ascii="Arial" w:hAnsi="Arial" w:cs="Arial"/>
          <w:sz w:val="22"/>
          <w:szCs w:val="22"/>
        </w:rPr>
      </w:pP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DB6" w:rsidRDefault="00B26DB6">
      <w:r>
        <w:separator/>
      </w:r>
    </w:p>
  </w:endnote>
  <w:endnote w:type="continuationSeparator" w:id="0">
    <w:p w:rsidR="00B26DB6" w:rsidRDefault="00B26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DB6" w:rsidRDefault="00B26DB6">
      <w:r>
        <w:separator/>
      </w:r>
    </w:p>
  </w:footnote>
  <w:footnote w:type="continuationSeparator" w:id="0">
    <w:p w:rsidR="00B26DB6" w:rsidRDefault="00B26D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C8" w:rsidRDefault="004F126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755DC8" w:rsidRDefault="004F1260">
                <w:pPr>
                  <w:pStyle w:val="af1"/>
                </w:pPr>
                <w:r>
                  <w:rPr>
                    <w:rStyle w:val="a3"/>
                  </w:rPr>
                  <w:fldChar w:fldCharType="begin"/>
                </w:r>
                <w:r w:rsidR="00755DC8">
                  <w:rPr>
                    <w:rStyle w:val="a3"/>
                  </w:rPr>
                  <w:instrText xml:space="preserve"> PAGE </w:instrText>
                </w:r>
                <w:r>
                  <w:rPr>
                    <w:rStyle w:val="a3"/>
                  </w:rPr>
                  <w:fldChar w:fldCharType="separate"/>
                </w:r>
                <w:r w:rsidR="006726B9">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C8" w:rsidRDefault="00755DC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9672F36"/>
    <w:multiLevelType w:val="multilevel"/>
    <w:tmpl w:val="E6606E38"/>
    <w:lvl w:ilvl="0">
      <w:start w:val="1"/>
      <w:numFmt w:val="bullet"/>
      <w:lvlText w:val=""/>
      <w:lvlJc w:val="left"/>
      <w:pPr>
        <w:tabs>
          <w:tab w:val="num" w:pos="720"/>
        </w:tabs>
        <w:ind w:left="720" w:hanging="360"/>
      </w:pPr>
      <w:rPr>
        <w:rFonts w:ascii="Wingdings" w:hAnsi="Wingdings" w:cs="Wingdings" w:hint="default"/>
        <w:color w:val="000000"/>
        <w:sz w:val="20"/>
        <w:szCs w:val="22"/>
        <w:highlight w:val="white"/>
      </w:rPr>
    </w:lvl>
    <w:lvl w:ilvl="1">
      <w:start w:val="1"/>
      <w:numFmt w:val="bullet"/>
      <w:lvlText w:val=""/>
      <w:lvlJc w:val="left"/>
      <w:pPr>
        <w:tabs>
          <w:tab w:val="num" w:pos="1080"/>
        </w:tabs>
        <w:ind w:left="1080" w:hanging="360"/>
      </w:pPr>
      <w:rPr>
        <w:rFonts w:ascii="Wingdings" w:hAnsi="Wingdings" w:cs="Wingdings" w:hint="default"/>
        <w:color w:val="000000"/>
        <w:sz w:val="22"/>
        <w:szCs w:val="22"/>
        <w:highlight w:val="white"/>
      </w:rPr>
    </w:lvl>
    <w:lvl w:ilvl="2">
      <w:start w:val="1"/>
      <w:numFmt w:val="bullet"/>
      <w:lvlText w:val=""/>
      <w:lvlJc w:val="left"/>
      <w:pPr>
        <w:tabs>
          <w:tab w:val="num" w:pos="1440"/>
        </w:tabs>
        <w:ind w:left="1440" w:hanging="360"/>
      </w:pPr>
      <w:rPr>
        <w:rFonts w:ascii="Wingdings" w:hAnsi="Wingdings" w:cs="Wingdings" w:hint="default"/>
        <w:color w:val="000000"/>
        <w:sz w:val="22"/>
        <w:szCs w:val="22"/>
        <w:highlight w:val="white"/>
      </w:rPr>
    </w:lvl>
    <w:lvl w:ilvl="3">
      <w:start w:val="1"/>
      <w:numFmt w:val="bullet"/>
      <w:lvlText w:val=""/>
      <w:lvlJc w:val="left"/>
      <w:pPr>
        <w:tabs>
          <w:tab w:val="num" w:pos="1800"/>
        </w:tabs>
        <w:ind w:left="1800" w:hanging="360"/>
      </w:pPr>
      <w:rPr>
        <w:rFonts w:ascii="Wingdings" w:hAnsi="Wingdings" w:cs="Wingdings" w:hint="default"/>
        <w:color w:val="000000"/>
        <w:sz w:val="22"/>
        <w:szCs w:val="22"/>
        <w:highlight w:val="white"/>
      </w:rPr>
    </w:lvl>
    <w:lvl w:ilvl="4">
      <w:start w:val="1"/>
      <w:numFmt w:val="bullet"/>
      <w:lvlText w:val=""/>
      <w:lvlJc w:val="left"/>
      <w:pPr>
        <w:tabs>
          <w:tab w:val="num" w:pos="2160"/>
        </w:tabs>
        <w:ind w:left="2160" w:hanging="360"/>
      </w:pPr>
      <w:rPr>
        <w:rFonts w:ascii="Wingdings" w:hAnsi="Wingdings" w:cs="Wingdings" w:hint="default"/>
        <w:color w:val="000000"/>
        <w:sz w:val="22"/>
        <w:szCs w:val="22"/>
        <w:highlight w:val="white"/>
      </w:rPr>
    </w:lvl>
    <w:lvl w:ilvl="5">
      <w:start w:val="1"/>
      <w:numFmt w:val="bullet"/>
      <w:lvlText w:val=""/>
      <w:lvlJc w:val="left"/>
      <w:pPr>
        <w:tabs>
          <w:tab w:val="num" w:pos="2520"/>
        </w:tabs>
        <w:ind w:left="2520" w:hanging="360"/>
      </w:pPr>
      <w:rPr>
        <w:rFonts w:ascii="Wingdings" w:hAnsi="Wingdings" w:cs="Wingdings" w:hint="default"/>
        <w:color w:val="000000"/>
        <w:sz w:val="22"/>
        <w:szCs w:val="22"/>
        <w:highlight w:val="white"/>
      </w:rPr>
    </w:lvl>
    <w:lvl w:ilvl="6">
      <w:start w:val="1"/>
      <w:numFmt w:val="bullet"/>
      <w:lvlText w:val=""/>
      <w:lvlJc w:val="left"/>
      <w:pPr>
        <w:tabs>
          <w:tab w:val="num" w:pos="2880"/>
        </w:tabs>
        <w:ind w:left="2880" w:hanging="360"/>
      </w:pPr>
      <w:rPr>
        <w:rFonts w:ascii="Wingdings" w:hAnsi="Wingdings" w:cs="Wingdings" w:hint="default"/>
        <w:color w:val="000000"/>
        <w:sz w:val="22"/>
        <w:szCs w:val="22"/>
        <w:highlight w:val="white"/>
      </w:rPr>
    </w:lvl>
    <w:lvl w:ilvl="7">
      <w:start w:val="1"/>
      <w:numFmt w:val="bullet"/>
      <w:lvlText w:val=""/>
      <w:lvlJc w:val="left"/>
      <w:pPr>
        <w:tabs>
          <w:tab w:val="num" w:pos="3240"/>
        </w:tabs>
        <w:ind w:left="3240" w:hanging="360"/>
      </w:pPr>
      <w:rPr>
        <w:rFonts w:ascii="Wingdings" w:hAnsi="Wingdings" w:cs="Wingdings" w:hint="default"/>
        <w:color w:val="000000"/>
        <w:sz w:val="22"/>
        <w:szCs w:val="22"/>
        <w:highlight w:val="white"/>
      </w:rPr>
    </w:lvl>
    <w:lvl w:ilvl="8">
      <w:start w:val="1"/>
      <w:numFmt w:val="bullet"/>
      <w:lvlText w:val=""/>
      <w:lvlJc w:val="left"/>
      <w:pPr>
        <w:tabs>
          <w:tab w:val="num" w:pos="3600"/>
        </w:tabs>
        <w:ind w:left="3600" w:hanging="360"/>
      </w:pPr>
      <w:rPr>
        <w:rFonts w:ascii="Wingdings" w:hAnsi="Wingdings" w:cs="Wingdings" w:hint="default"/>
        <w:color w:val="000000"/>
        <w:sz w:val="22"/>
        <w:szCs w:val="22"/>
        <w:highlight w:val="white"/>
      </w:r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CFD76D6"/>
    <w:multiLevelType w:val="multilevel"/>
    <w:tmpl w:val="788AC9CE"/>
    <w:lvl w:ilvl="0">
      <w:start w:val="1"/>
      <w:numFmt w:val="bullet"/>
      <w:lvlText w:val=""/>
      <w:lvlJc w:val="left"/>
      <w:pPr>
        <w:tabs>
          <w:tab w:val="num" w:pos="720"/>
        </w:tabs>
        <w:ind w:left="720" w:hanging="360"/>
      </w:pPr>
      <w:rPr>
        <w:rFonts w:ascii="Wingdings" w:hAnsi="Wingdings" w:cs="Wingdings" w:hint="default"/>
        <w:b w:val="0"/>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440"/>
        </w:tabs>
        <w:ind w:left="1440" w:hanging="360"/>
      </w:pPr>
      <w:rPr>
        <w:rFonts w:ascii="Wingdings" w:hAnsi="Wingdings" w:cs="Wingdings" w:hint="default"/>
        <w:sz w:val="20"/>
        <w:szCs w:val="20"/>
      </w:rPr>
    </w:lvl>
    <w:lvl w:ilvl="3">
      <w:start w:val="1"/>
      <w:numFmt w:val="bullet"/>
      <w:lvlText w:val=""/>
      <w:lvlJc w:val="left"/>
      <w:pPr>
        <w:tabs>
          <w:tab w:val="num" w:pos="1800"/>
        </w:tabs>
        <w:ind w:left="1800" w:hanging="360"/>
      </w:pPr>
      <w:rPr>
        <w:rFonts w:ascii="Wingdings" w:hAnsi="Wingdings" w:cs="Wingdings" w:hint="default"/>
        <w:sz w:val="20"/>
        <w:szCs w:val="20"/>
      </w:rPr>
    </w:lvl>
    <w:lvl w:ilvl="4">
      <w:start w:val="1"/>
      <w:numFmt w:val="bullet"/>
      <w:lvlText w:val=""/>
      <w:lvlJc w:val="left"/>
      <w:pPr>
        <w:tabs>
          <w:tab w:val="num" w:pos="2160"/>
        </w:tabs>
        <w:ind w:left="216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2880"/>
        </w:tabs>
        <w:ind w:left="2880" w:hanging="360"/>
      </w:pPr>
      <w:rPr>
        <w:rFonts w:ascii="Wingdings" w:hAnsi="Wingdings" w:cs="Wingdings" w:hint="default"/>
        <w:sz w:val="20"/>
        <w:szCs w:val="20"/>
      </w:rPr>
    </w:lvl>
    <w:lvl w:ilvl="7">
      <w:start w:val="1"/>
      <w:numFmt w:val="bullet"/>
      <w:lvlText w:val=""/>
      <w:lvlJc w:val="left"/>
      <w:pPr>
        <w:tabs>
          <w:tab w:val="num" w:pos="3240"/>
        </w:tabs>
        <w:ind w:left="3240" w:hanging="360"/>
      </w:pPr>
      <w:rPr>
        <w:rFonts w:ascii="Wingdings" w:hAnsi="Wingdings" w:cs="Wingdings" w:hint="default"/>
        <w:sz w:val="20"/>
        <w:szCs w:val="20"/>
      </w:rPr>
    </w:lvl>
    <w:lvl w:ilvl="8">
      <w:start w:val="1"/>
      <w:numFmt w:val="bullet"/>
      <w:lvlText w:val=""/>
      <w:lvlJc w:val="left"/>
      <w:pPr>
        <w:tabs>
          <w:tab w:val="num" w:pos="3600"/>
        </w:tabs>
        <w:ind w:left="3600" w:hanging="360"/>
      </w:pPr>
      <w:rPr>
        <w:rFonts w:ascii="Wingdings" w:hAnsi="Wingdings" w:cs="Wingdings" w:hint="default"/>
        <w:sz w:val="20"/>
        <w:szCs w:val="20"/>
      </w:r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31B2E8F"/>
    <w:multiLevelType w:val="multilevel"/>
    <w:tmpl w:val="C900968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440"/>
        </w:tabs>
        <w:ind w:left="1440" w:hanging="360"/>
      </w:pPr>
      <w:rPr>
        <w:rFonts w:ascii="Wingdings" w:hAnsi="Wingdings" w:cs="Wingdings" w:hint="default"/>
        <w:sz w:val="20"/>
        <w:szCs w:val="20"/>
      </w:rPr>
    </w:lvl>
    <w:lvl w:ilvl="3">
      <w:start w:val="1"/>
      <w:numFmt w:val="bullet"/>
      <w:lvlText w:val=""/>
      <w:lvlJc w:val="left"/>
      <w:pPr>
        <w:tabs>
          <w:tab w:val="num" w:pos="1800"/>
        </w:tabs>
        <w:ind w:left="1800" w:hanging="360"/>
      </w:pPr>
      <w:rPr>
        <w:rFonts w:ascii="Wingdings" w:hAnsi="Wingdings" w:cs="Wingdings" w:hint="default"/>
        <w:sz w:val="20"/>
        <w:szCs w:val="20"/>
      </w:rPr>
    </w:lvl>
    <w:lvl w:ilvl="4">
      <w:start w:val="1"/>
      <w:numFmt w:val="bullet"/>
      <w:lvlText w:val=""/>
      <w:lvlJc w:val="left"/>
      <w:pPr>
        <w:tabs>
          <w:tab w:val="num" w:pos="2160"/>
        </w:tabs>
        <w:ind w:left="216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2880"/>
        </w:tabs>
        <w:ind w:left="2880" w:hanging="360"/>
      </w:pPr>
      <w:rPr>
        <w:rFonts w:ascii="Wingdings" w:hAnsi="Wingdings" w:cs="Wingdings" w:hint="default"/>
        <w:sz w:val="20"/>
        <w:szCs w:val="20"/>
      </w:rPr>
    </w:lvl>
    <w:lvl w:ilvl="7">
      <w:start w:val="1"/>
      <w:numFmt w:val="bullet"/>
      <w:lvlText w:val=""/>
      <w:lvlJc w:val="left"/>
      <w:pPr>
        <w:tabs>
          <w:tab w:val="num" w:pos="3240"/>
        </w:tabs>
        <w:ind w:left="3240" w:hanging="360"/>
      </w:pPr>
      <w:rPr>
        <w:rFonts w:ascii="Wingdings" w:hAnsi="Wingdings" w:cs="Wingdings" w:hint="default"/>
        <w:sz w:val="20"/>
        <w:szCs w:val="20"/>
      </w:rPr>
    </w:lvl>
    <w:lvl w:ilvl="8">
      <w:start w:val="1"/>
      <w:numFmt w:val="bullet"/>
      <w:lvlText w:val=""/>
      <w:lvlJc w:val="left"/>
      <w:pPr>
        <w:tabs>
          <w:tab w:val="num" w:pos="3600"/>
        </w:tabs>
        <w:ind w:left="3600" w:hanging="360"/>
      </w:pPr>
      <w:rPr>
        <w:rFonts w:ascii="Wingdings" w:hAnsi="Wingdings" w:cs="Wingdings" w:hint="default"/>
        <w:sz w:val="20"/>
        <w:szCs w:val="20"/>
      </w:rPr>
    </w:lvl>
  </w:abstractNum>
  <w:abstractNum w:abstractNumId="19">
    <w:nsid w:val="493B0E6B"/>
    <w:multiLevelType w:val="multilevel"/>
    <w:tmpl w:val="9EC0BE3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0">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5">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8">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02961DD"/>
    <w:multiLevelType w:val="multilevel"/>
    <w:tmpl w:val="4E82369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1">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74B72D9"/>
    <w:multiLevelType w:val="hybridMultilevel"/>
    <w:tmpl w:val="A65A64D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5">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6">
    <w:nsid w:val="6EEE76F5"/>
    <w:multiLevelType w:val="hybridMultilevel"/>
    <w:tmpl w:val="A65A64D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7">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nsid w:val="77A94FE3"/>
    <w:multiLevelType w:val="multilevel"/>
    <w:tmpl w:val="102482E2"/>
    <w:lvl w:ilvl="0">
      <w:start w:val="1"/>
      <w:numFmt w:val="bullet"/>
      <w:lvlText w:val=""/>
      <w:lvlJc w:val="left"/>
      <w:pPr>
        <w:tabs>
          <w:tab w:val="num" w:pos="720"/>
        </w:tabs>
        <w:ind w:left="720" w:hanging="360"/>
      </w:pPr>
      <w:rPr>
        <w:rFonts w:ascii="Wingdings" w:hAnsi="Wingdings" w:cs="Wingdings" w:hint="default"/>
        <w:color w:val="000000"/>
        <w:sz w:val="20"/>
        <w:szCs w:val="22"/>
        <w:highlight w:val="white"/>
      </w:rPr>
    </w:lvl>
    <w:lvl w:ilvl="1">
      <w:start w:val="1"/>
      <w:numFmt w:val="bullet"/>
      <w:lvlText w:val=""/>
      <w:lvlJc w:val="left"/>
      <w:pPr>
        <w:tabs>
          <w:tab w:val="num" w:pos="1080"/>
        </w:tabs>
        <w:ind w:left="1080" w:hanging="360"/>
      </w:pPr>
      <w:rPr>
        <w:rFonts w:ascii="Wingdings" w:hAnsi="Wingdings" w:cs="Wingdings" w:hint="default"/>
        <w:color w:val="000000"/>
        <w:sz w:val="22"/>
        <w:szCs w:val="22"/>
        <w:highlight w:val="white"/>
      </w:rPr>
    </w:lvl>
    <w:lvl w:ilvl="2">
      <w:start w:val="1"/>
      <w:numFmt w:val="bullet"/>
      <w:lvlText w:val=""/>
      <w:lvlJc w:val="left"/>
      <w:pPr>
        <w:tabs>
          <w:tab w:val="num" w:pos="1440"/>
        </w:tabs>
        <w:ind w:left="1440" w:hanging="360"/>
      </w:pPr>
      <w:rPr>
        <w:rFonts w:ascii="Wingdings" w:hAnsi="Wingdings" w:cs="Wingdings" w:hint="default"/>
        <w:color w:val="000000"/>
        <w:sz w:val="22"/>
        <w:szCs w:val="22"/>
        <w:highlight w:val="white"/>
      </w:rPr>
    </w:lvl>
    <w:lvl w:ilvl="3">
      <w:start w:val="1"/>
      <w:numFmt w:val="bullet"/>
      <w:lvlText w:val=""/>
      <w:lvlJc w:val="left"/>
      <w:pPr>
        <w:tabs>
          <w:tab w:val="num" w:pos="1800"/>
        </w:tabs>
        <w:ind w:left="1800" w:hanging="360"/>
      </w:pPr>
      <w:rPr>
        <w:rFonts w:ascii="Wingdings" w:hAnsi="Wingdings" w:cs="Wingdings" w:hint="default"/>
        <w:color w:val="000000"/>
        <w:sz w:val="22"/>
        <w:szCs w:val="22"/>
        <w:highlight w:val="white"/>
      </w:rPr>
    </w:lvl>
    <w:lvl w:ilvl="4">
      <w:start w:val="1"/>
      <w:numFmt w:val="bullet"/>
      <w:lvlText w:val=""/>
      <w:lvlJc w:val="left"/>
      <w:pPr>
        <w:tabs>
          <w:tab w:val="num" w:pos="2160"/>
        </w:tabs>
        <w:ind w:left="2160" w:hanging="360"/>
      </w:pPr>
      <w:rPr>
        <w:rFonts w:ascii="Wingdings" w:hAnsi="Wingdings" w:cs="Wingdings" w:hint="default"/>
        <w:color w:val="000000"/>
        <w:sz w:val="22"/>
        <w:szCs w:val="22"/>
        <w:highlight w:val="white"/>
      </w:rPr>
    </w:lvl>
    <w:lvl w:ilvl="5">
      <w:start w:val="1"/>
      <w:numFmt w:val="bullet"/>
      <w:lvlText w:val=""/>
      <w:lvlJc w:val="left"/>
      <w:pPr>
        <w:tabs>
          <w:tab w:val="num" w:pos="2520"/>
        </w:tabs>
        <w:ind w:left="2520" w:hanging="360"/>
      </w:pPr>
      <w:rPr>
        <w:rFonts w:ascii="Wingdings" w:hAnsi="Wingdings" w:cs="Wingdings" w:hint="default"/>
        <w:color w:val="000000"/>
        <w:sz w:val="22"/>
        <w:szCs w:val="22"/>
        <w:highlight w:val="white"/>
      </w:rPr>
    </w:lvl>
    <w:lvl w:ilvl="6">
      <w:start w:val="1"/>
      <w:numFmt w:val="bullet"/>
      <w:lvlText w:val=""/>
      <w:lvlJc w:val="left"/>
      <w:pPr>
        <w:tabs>
          <w:tab w:val="num" w:pos="2880"/>
        </w:tabs>
        <w:ind w:left="2880" w:hanging="360"/>
      </w:pPr>
      <w:rPr>
        <w:rFonts w:ascii="Wingdings" w:hAnsi="Wingdings" w:cs="Wingdings" w:hint="default"/>
        <w:color w:val="000000"/>
        <w:sz w:val="22"/>
        <w:szCs w:val="22"/>
        <w:highlight w:val="white"/>
      </w:rPr>
    </w:lvl>
    <w:lvl w:ilvl="7">
      <w:start w:val="1"/>
      <w:numFmt w:val="bullet"/>
      <w:lvlText w:val=""/>
      <w:lvlJc w:val="left"/>
      <w:pPr>
        <w:tabs>
          <w:tab w:val="num" w:pos="3240"/>
        </w:tabs>
        <w:ind w:left="3240" w:hanging="360"/>
      </w:pPr>
      <w:rPr>
        <w:rFonts w:ascii="Wingdings" w:hAnsi="Wingdings" w:cs="Wingdings" w:hint="default"/>
        <w:color w:val="000000"/>
        <w:sz w:val="22"/>
        <w:szCs w:val="22"/>
        <w:highlight w:val="white"/>
      </w:rPr>
    </w:lvl>
    <w:lvl w:ilvl="8">
      <w:start w:val="1"/>
      <w:numFmt w:val="bullet"/>
      <w:lvlText w:val=""/>
      <w:lvlJc w:val="left"/>
      <w:pPr>
        <w:tabs>
          <w:tab w:val="num" w:pos="3600"/>
        </w:tabs>
        <w:ind w:left="3600" w:hanging="360"/>
      </w:pPr>
      <w:rPr>
        <w:rFonts w:ascii="Wingdings" w:hAnsi="Wingdings" w:cs="Wingdings" w:hint="default"/>
        <w:color w:val="000000"/>
        <w:sz w:val="22"/>
        <w:szCs w:val="22"/>
        <w:highlight w:val="white"/>
      </w:rPr>
    </w:lvl>
  </w:abstractNum>
  <w:abstractNum w:abstractNumId="40">
    <w:nsid w:val="79114F1C"/>
    <w:multiLevelType w:val="multilevel"/>
    <w:tmpl w:val="40F20E3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1">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C173E9B"/>
    <w:multiLevelType w:val="multilevel"/>
    <w:tmpl w:val="17347BC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3">
    <w:nsid w:val="7C675D49"/>
    <w:multiLevelType w:val="hybridMultilevel"/>
    <w:tmpl w:val="24AE7BDC"/>
    <w:lvl w:ilvl="0" w:tplc="AE2C672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5"/>
  </w:num>
  <w:num w:numId="7">
    <w:abstractNumId w:val="10"/>
  </w:num>
  <w:num w:numId="8">
    <w:abstractNumId w:val="14"/>
  </w:num>
  <w:num w:numId="9">
    <w:abstractNumId w:val="28"/>
  </w:num>
  <w:num w:numId="10">
    <w:abstractNumId w:val="33"/>
  </w:num>
  <w:num w:numId="11">
    <w:abstractNumId w:val="31"/>
  </w:num>
  <w:num w:numId="12">
    <w:abstractNumId w:val="32"/>
  </w:num>
  <w:num w:numId="13">
    <w:abstractNumId w:val="37"/>
  </w:num>
  <w:num w:numId="14">
    <w:abstractNumId w:val="29"/>
  </w:num>
  <w:num w:numId="15">
    <w:abstractNumId w:val="12"/>
  </w:num>
  <w:num w:numId="16">
    <w:abstractNumId w:val="11"/>
  </w:num>
  <w:num w:numId="17">
    <w:abstractNumId w:val="23"/>
  </w:num>
  <w:num w:numId="18">
    <w:abstractNumId w:val="35"/>
  </w:num>
  <w:num w:numId="19">
    <w:abstractNumId w:val="20"/>
  </w:num>
  <w:num w:numId="20">
    <w:abstractNumId w:val="44"/>
  </w:num>
  <w:num w:numId="21">
    <w:abstractNumId w:val="27"/>
  </w:num>
  <w:num w:numId="22">
    <w:abstractNumId w:val="7"/>
  </w:num>
  <w:num w:numId="23">
    <w:abstractNumId w:val="22"/>
  </w:num>
  <w:num w:numId="24">
    <w:abstractNumId w:val="38"/>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1"/>
  </w:num>
  <w:num w:numId="28">
    <w:abstractNumId w:val="24"/>
  </w:num>
  <w:num w:numId="29">
    <w:abstractNumId w:val="9"/>
  </w:num>
  <w:num w:numId="30">
    <w:abstractNumId w:val="25"/>
  </w:num>
  <w:num w:numId="31">
    <w:abstractNumId w:val="26"/>
  </w:num>
  <w:num w:numId="32">
    <w:abstractNumId w:val="13"/>
  </w:num>
  <w:num w:numId="33">
    <w:abstractNumId w:val="18"/>
  </w:num>
  <w:num w:numId="34">
    <w:abstractNumId w:val="16"/>
  </w:num>
  <w:num w:numId="35">
    <w:abstractNumId w:val="40"/>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8"/>
  </w:num>
  <w:num w:numId="40">
    <w:abstractNumId w:val="39"/>
  </w:num>
  <w:num w:numId="41">
    <w:abstractNumId w:val="30"/>
  </w:num>
  <w:num w:numId="42">
    <w:abstractNumId w:val="42"/>
  </w:num>
  <w:num w:numId="43">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901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6AA1"/>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136A"/>
    <w:rsid w:val="002365ED"/>
    <w:rsid w:val="002402D8"/>
    <w:rsid w:val="002465A3"/>
    <w:rsid w:val="00246CC8"/>
    <w:rsid w:val="00253B9E"/>
    <w:rsid w:val="00254918"/>
    <w:rsid w:val="002549B6"/>
    <w:rsid w:val="0025504C"/>
    <w:rsid w:val="0025601A"/>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803"/>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001E"/>
    <w:rsid w:val="003E107E"/>
    <w:rsid w:val="003E28D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5444"/>
    <w:rsid w:val="00476DAD"/>
    <w:rsid w:val="004776C1"/>
    <w:rsid w:val="00477A14"/>
    <w:rsid w:val="004812C2"/>
    <w:rsid w:val="00481423"/>
    <w:rsid w:val="00482DC2"/>
    <w:rsid w:val="00482F7A"/>
    <w:rsid w:val="00484F0B"/>
    <w:rsid w:val="0048586E"/>
    <w:rsid w:val="00486A4C"/>
    <w:rsid w:val="00486FB6"/>
    <w:rsid w:val="004872DF"/>
    <w:rsid w:val="004901FD"/>
    <w:rsid w:val="0049298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1260"/>
    <w:rsid w:val="004F27CA"/>
    <w:rsid w:val="004F7A8A"/>
    <w:rsid w:val="00505623"/>
    <w:rsid w:val="00505878"/>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919"/>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26B9"/>
    <w:rsid w:val="00673873"/>
    <w:rsid w:val="00676AFC"/>
    <w:rsid w:val="00677D99"/>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065"/>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9B1"/>
    <w:rsid w:val="00742D7C"/>
    <w:rsid w:val="00744082"/>
    <w:rsid w:val="007456A2"/>
    <w:rsid w:val="00746352"/>
    <w:rsid w:val="007464C2"/>
    <w:rsid w:val="00747F8A"/>
    <w:rsid w:val="00752561"/>
    <w:rsid w:val="00753E65"/>
    <w:rsid w:val="007544DE"/>
    <w:rsid w:val="0075595C"/>
    <w:rsid w:val="00755DC8"/>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79E"/>
    <w:rsid w:val="007B5474"/>
    <w:rsid w:val="007B5E14"/>
    <w:rsid w:val="007B603B"/>
    <w:rsid w:val="007B6A88"/>
    <w:rsid w:val="007B7659"/>
    <w:rsid w:val="007B7671"/>
    <w:rsid w:val="007C0FD3"/>
    <w:rsid w:val="007C1DDB"/>
    <w:rsid w:val="007C3188"/>
    <w:rsid w:val="007C58EA"/>
    <w:rsid w:val="007C7986"/>
    <w:rsid w:val="007D04FA"/>
    <w:rsid w:val="007D26EA"/>
    <w:rsid w:val="007D4007"/>
    <w:rsid w:val="007D679C"/>
    <w:rsid w:val="007D6A04"/>
    <w:rsid w:val="007D6FCE"/>
    <w:rsid w:val="007E0C09"/>
    <w:rsid w:val="007E423D"/>
    <w:rsid w:val="007E622E"/>
    <w:rsid w:val="007E6F5B"/>
    <w:rsid w:val="007F0DB6"/>
    <w:rsid w:val="007F41D6"/>
    <w:rsid w:val="007F6778"/>
    <w:rsid w:val="0080082F"/>
    <w:rsid w:val="00801638"/>
    <w:rsid w:val="00801D63"/>
    <w:rsid w:val="0080234E"/>
    <w:rsid w:val="00802A86"/>
    <w:rsid w:val="008030A1"/>
    <w:rsid w:val="008039F8"/>
    <w:rsid w:val="00805DCA"/>
    <w:rsid w:val="00807006"/>
    <w:rsid w:val="0080716F"/>
    <w:rsid w:val="00810BA4"/>
    <w:rsid w:val="00816643"/>
    <w:rsid w:val="0082068C"/>
    <w:rsid w:val="0082269F"/>
    <w:rsid w:val="008233BC"/>
    <w:rsid w:val="008234E5"/>
    <w:rsid w:val="00824A39"/>
    <w:rsid w:val="00825CE6"/>
    <w:rsid w:val="008271CB"/>
    <w:rsid w:val="00827311"/>
    <w:rsid w:val="0083305C"/>
    <w:rsid w:val="00833173"/>
    <w:rsid w:val="00833B73"/>
    <w:rsid w:val="00833E3A"/>
    <w:rsid w:val="00835782"/>
    <w:rsid w:val="00841031"/>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86352"/>
    <w:rsid w:val="0089305D"/>
    <w:rsid w:val="0089389D"/>
    <w:rsid w:val="0089435B"/>
    <w:rsid w:val="008977A1"/>
    <w:rsid w:val="008A11F7"/>
    <w:rsid w:val="008A5B7E"/>
    <w:rsid w:val="008A5E13"/>
    <w:rsid w:val="008A6F34"/>
    <w:rsid w:val="008B0877"/>
    <w:rsid w:val="008B1568"/>
    <w:rsid w:val="008B3A9D"/>
    <w:rsid w:val="008B4A1A"/>
    <w:rsid w:val="008B66C5"/>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2C0E"/>
    <w:rsid w:val="009C6179"/>
    <w:rsid w:val="009D3D18"/>
    <w:rsid w:val="009D4B51"/>
    <w:rsid w:val="009D5331"/>
    <w:rsid w:val="009D5AE6"/>
    <w:rsid w:val="009D6287"/>
    <w:rsid w:val="009D758A"/>
    <w:rsid w:val="009E16AF"/>
    <w:rsid w:val="009E224A"/>
    <w:rsid w:val="009E3D3C"/>
    <w:rsid w:val="009E5C82"/>
    <w:rsid w:val="009F2AA6"/>
    <w:rsid w:val="009F34AB"/>
    <w:rsid w:val="009F45E7"/>
    <w:rsid w:val="009F4B5B"/>
    <w:rsid w:val="00A05488"/>
    <w:rsid w:val="00A116FB"/>
    <w:rsid w:val="00A1563F"/>
    <w:rsid w:val="00A16427"/>
    <w:rsid w:val="00A16A2B"/>
    <w:rsid w:val="00A22B24"/>
    <w:rsid w:val="00A25074"/>
    <w:rsid w:val="00A264F0"/>
    <w:rsid w:val="00A33924"/>
    <w:rsid w:val="00A369E8"/>
    <w:rsid w:val="00A36F5D"/>
    <w:rsid w:val="00A37F05"/>
    <w:rsid w:val="00A40192"/>
    <w:rsid w:val="00A4068C"/>
    <w:rsid w:val="00A40B9A"/>
    <w:rsid w:val="00A42F7C"/>
    <w:rsid w:val="00A45396"/>
    <w:rsid w:val="00A52C55"/>
    <w:rsid w:val="00A54613"/>
    <w:rsid w:val="00A568A4"/>
    <w:rsid w:val="00A626DD"/>
    <w:rsid w:val="00A67893"/>
    <w:rsid w:val="00A7365F"/>
    <w:rsid w:val="00A743A8"/>
    <w:rsid w:val="00A7457E"/>
    <w:rsid w:val="00A76601"/>
    <w:rsid w:val="00A7694F"/>
    <w:rsid w:val="00A80F1E"/>
    <w:rsid w:val="00A8137D"/>
    <w:rsid w:val="00A81C0D"/>
    <w:rsid w:val="00A832E7"/>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23E4"/>
    <w:rsid w:val="00AF6041"/>
    <w:rsid w:val="00AF7C0E"/>
    <w:rsid w:val="00B0133E"/>
    <w:rsid w:val="00B04804"/>
    <w:rsid w:val="00B04994"/>
    <w:rsid w:val="00B050E7"/>
    <w:rsid w:val="00B12050"/>
    <w:rsid w:val="00B136D0"/>
    <w:rsid w:val="00B16BE3"/>
    <w:rsid w:val="00B16C92"/>
    <w:rsid w:val="00B214AE"/>
    <w:rsid w:val="00B23460"/>
    <w:rsid w:val="00B2563A"/>
    <w:rsid w:val="00B26DB6"/>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26F"/>
    <w:rsid w:val="00B56E3B"/>
    <w:rsid w:val="00B615F3"/>
    <w:rsid w:val="00B63B8F"/>
    <w:rsid w:val="00B66A85"/>
    <w:rsid w:val="00B677DD"/>
    <w:rsid w:val="00B735E6"/>
    <w:rsid w:val="00B81CB6"/>
    <w:rsid w:val="00B81F5F"/>
    <w:rsid w:val="00B831F3"/>
    <w:rsid w:val="00B83547"/>
    <w:rsid w:val="00B84CB7"/>
    <w:rsid w:val="00B85114"/>
    <w:rsid w:val="00B857A3"/>
    <w:rsid w:val="00B863CD"/>
    <w:rsid w:val="00B86697"/>
    <w:rsid w:val="00B87DFD"/>
    <w:rsid w:val="00B91989"/>
    <w:rsid w:val="00B935DB"/>
    <w:rsid w:val="00B9395A"/>
    <w:rsid w:val="00B95C74"/>
    <w:rsid w:val="00BA37FD"/>
    <w:rsid w:val="00BA43E7"/>
    <w:rsid w:val="00BA68A4"/>
    <w:rsid w:val="00BA6BE6"/>
    <w:rsid w:val="00BB2512"/>
    <w:rsid w:val="00BB4124"/>
    <w:rsid w:val="00BC25AB"/>
    <w:rsid w:val="00BC32A6"/>
    <w:rsid w:val="00BC4511"/>
    <w:rsid w:val="00BC6BC9"/>
    <w:rsid w:val="00BD4028"/>
    <w:rsid w:val="00BD4866"/>
    <w:rsid w:val="00BD7052"/>
    <w:rsid w:val="00BE1DD2"/>
    <w:rsid w:val="00BE2057"/>
    <w:rsid w:val="00BE3A82"/>
    <w:rsid w:val="00BE3DC9"/>
    <w:rsid w:val="00BE70F8"/>
    <w:rsid w:val="00BF070A"/>
    <w:rsid w:val="00BF2482"/>
    <w:rsid w:val="00BF273F"/>
    <w:rsid w:val="00BF32D3"/>
    <w:rsid w:val="00BF3750"/>
    <w:rsid w:val="00BF533F"/>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4579"/>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340D"/>
    <w:rsid w:val="00C940F6"/>
    <w:rsid w:val="00C95B11"/>
    <w:rsid w:val="00C97E3B"/>
    <w:rsid w:val="00CA3A5F"/>
    <w:rsid w:val="00CA76C1"/>
    <w:rsid w:val="00CA773A"/>
    <w:rsid w:val="00CB009D"/>
    <w:rsid w:val="00CB01AF"/>
    <w:rsid w:val="00CB165F"/>
    <w:rsid w:val="00CB18E6"/>
    <w:rsid w:val="00CB395A"/>
    <w:rsid w:val="00CB3B17"/>
    <w:rsid w:val="00CB74BE"/>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30D3"/>
    <w:rsid w:val="00CF493D"/>
    <w:rsid w:val="00CF58C8"/>
    <w:rsid w:val="00D00182"/>
    <w:rsid w:val="00D0349A"/>
    <w:rsid w:val="00D0391F"/>
    <w:rsid w:val="00D03C49"/>
    <w:rsid w:val="00D04F7F"/>
    <w:rsid w:val="00D06531"/>
    <w:rsid w:val="00D074CE"/>
    <w:rsid w:val="00D10463"/>
    <w:rsid w:val="00D106A0"/>
    <w:rsid w:val="00D1254C"/>
    <w:rsid w:val="00D12A64"/>
    <w:rsid w:val="00D13A1C"/>
    <w:rsid w:val="00D13E5C"/>
    <w:rsid w:val="00D1492F"/>
    <w:rsid w:val="00D163D9"/>
    <w:rsid w:val="00D17BBF"/>
    <w:rsid w:val="00D2277D"/>
    <w:rsid w:val="00D2710C"/>
    <w:rsid w:val="00D273C7"/>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683F"/>
    <w:rsid w:val="00DD75B3"/>
    <w:rsid w:val="00DE3AF8"/>
    <w:rsid w:val="00DE4CCA"/>
    <w:rsid w:val="00DE61BB"/>
    <w:rsid w:val="00DE6A3D"/>
    <w:rsid w:val="00DE6FA3"/>
    <w:rsid w:val="00DE767A"/>
    <w:rsid w:val="00DF0308"/>
    <w:rsid w:val="00DF046F"/>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04A4"/>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550"/>
    <w:rsid w:val="00EC4AB2"/>
    <w:rsid w:val="00EC5AA0"/>
    <w:rsid w:val="00EC5ADD"/>
    <w:rsid w:val="00EC5BFD"/>
    <w:rsid w:val="00EC75D1"/>
    <w:rsid w:val="00ED2FD5"/>
    <w:rsid w:val="00ED3BDA"/>
    <w:rsid w:val="00ED7689"/>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193"/>
    <w:rsid w:val="00F307B9"/>
    <w:rsid w:val="00F33402"/>
    <w:rsid w:val="00F3385F"/>
    <w:rsid w:val="00F36FB6"/>
    <w:rsid w:val="00F4342E"/>
    <w:rsid w:val="00F45B30"/>
    <w:rsid w:val="00F47C61"/>
    <w:rsid w:val="00F5048A"/>
    <w:rsid w:val="00F50A47"/>
    <w:rsid w:val="00F50B4E"/>
    <w:rsid w:val="00F52912"/>
    <w:rsid w:val="00F553CE"/>
    <w:rsid w:val="00F557AD"/>
    <w:rsid w:val="00F55FB1"/>
    <w:rsid w:val="00F579DE"/>
    <w:rsid w:val="00F6172F"/>
    <w:rsid w:val="00F61F7D"/>
    <w:rsid w:val="00F62440"/>
    <w:rsid w:val="00F64B55"/>
    <w:rsid w:val="00F67033"/>
    <w:rsid w:val="00F72646"/>
    <w:rsid w:val="00F74868"/>
    <w:rsid w:val="00F76371"/>
    <w:rsid w:val="00F766E3"/>
    <w:rsid w:val="00F773F2"/>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901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361205922">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B707-5174-4308-82F6-AB897FE7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1754</Words>
  <Characters>9472</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11204</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2025-12-24T07:36:00Z</cp:lastPrinted>
  <dcterms:created xsi:type="dcterms:W3CDTF">2025-12-29T07:28:00Z</dcterms:created>
  <dcterms:modified xsi:type="dcterms:W3CDTF">2025-12-31T06:44:00Z</dcterms:modified>
</cp:coreProperties>
</file>