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530" w:rsidRPr="00BF41FB" w:rsidRDefault="00B14530" w:rsidP="00B14530">
      <w:pPr>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sidR="00BF41FB">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 </w:t>
      </w:r>
      <w:r w:rsidRPr="00BF41FB">
        <w:rPr>
          <w:rFonts w:ascii="Arial" w:eastAsia="Arial" w:hAnsi="Arial" w:cs="Arial"/>
          <w:b/>
          <w:bCs/>
          <w:sz w:val="22"/>
          <w:szCs w:val="22"/>
        </w:rPr>
        <w:t>ΑΝΑΡΤΗΤΕΑ ΣΤΗ ΔΙΑΥΓΕΙΑ</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Λιβαδειά  0</w:t>
      </w:r>
      <w:r w:rsidR="00FC15AE">
        <w:rPr>
          <w:rFonts w:ascii="Arial" w:eastAsia="Arial" w:hAnsi="Arial" w:cs="Arial"/>
          <w:b/>
          <w:bCs/>
          <w:sz w:val="22"/>
          <w:szCs w:val="22"/>
        </w:rPr>
        <w:t>2</w:t>
      </w:r>
      <w:r w:rsidRPr="00BF41FB">
        <w:rPr>
          <w:rFonts w:ascii="Arial" w:eastAsia="Arial" w:hAnsi="Arial" w:cs="Arial"/>
          <w:b/>
          <w:bCs/>
          <w:sz w:val="22"/>
          <w:szCs w:val="22"/>
        </w:rPr>
        <w:t>/12/2025</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eastAsia="Arial" w:hAnsi="Arial" w:cs="Arial"/>
          <w:b/>
          <w:sz w:val="22"/>
          <w:szCs w:val="22"/>
        </w:rPr>
        <w:t xml:space="preserve">                                                                  </w:t>
      </w:r>
      <w:r w:rsidR="00BF41FB">
        <w:rPr>
          <w:rFonts w:ascii="Arial" w:eastAsia="Arial" w:hAnsi="Arial" w:cs="Arial"/>
          <w:b/>
          <w:sz w:val="22"/>
          <w:szCs w:val="22"/>
        </w:rPr>
        <w:t xml:space="preserve">     </w:t>
      </w:r>
      <w:r w:rsidR="004C467C">
        <w:rPr>
          <w:rFonts w:ascii="Arial" w:eastAsia="Arial" w:hAnsi="Arial" w:cs="Arial"/>
          <w:b/>
          <w:sz w:val="22"/>
          <w:szCs w:val="22"/>
        </w:rPr>
        <w:t xml:space="preserve">           </w:t>
      </w:r>
      <w:r w:rsidR="00BF41FB">
        <w:rPr>
          <w:rFonts w:ascii="Arial" w:eastAsia="Arial" w:hAnsi="Arial" w:cs="Arial"/>
          <w:b/>
          <w:sz w:val="22"/>
          <w:szCs w:val="22"/>
        </w:rPr>
        <w:t xml:space="preserve"> </w:t>
      </w:r>
      <w:r w:rsidRPr="00BF41FB">
        <w:rPr>
          <w:rFonts w:ascii="Arial" w:eastAsia="Arial" w:hAnsi="Arial" w:cs="Arial"/>
          <w:b/>
          <w:sz w:val="22"/>
          <w:szCs w:val="22"/>
        </w:rPr>
        <w:t>Αριθ</w:t>
      </w:r>
      <w:r w:rsidRPr="00BF41FB">
        <w:rPr>
          <w:rFonts w:ascii="Arial" w:eastAsia="Calibri" w:hAnsi="Arial" w:cs="Arial"/>
          <w:b/>
          <w:sz w:val="22"/>
          <w:szCs w:val="22"/>
        </w:rPr>
        <w:t>. Πρωτ.</w:t>
      </w:r>
      <w:r w:rsidR="002615C6">
        <w:rPr>
          <w:rFonts w:ascii="Arial" w:eastAsia="Calibri" w:hAnsi="Arial" w:cs="Arial"/>
          <w:b/>
          <w:sz w:val="22"/>
          <w:szCs w:val="22"/>
        </w:rPr>
        <w:t>24568</w:t>
      </w:r>
      <w:r w:rsidRPr="00BF41FB">
        <w:rPr>
          <w:rFonts w:ascii="Arial" w:eastAsia="Calibri" w:hAnsi="Arial" w:cs="Arial"/>
          <w:b/>
          <w:sz w:val="22"/>
          <w:szCs w:val="22"/>
        </w:rPr>
        <w:t xml:space="preserve"> </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hAnsi="Arial" w:cs="Arial"/>
          <w:b/>
          <w:sz w:val="22"/>
          <w:szCs w:val="22"/>
        </w:rPr>
        <w:t>ΑΠΟΣΠΑΣΜΑ</w:t>
      </w:r>
    </w:p>
    <w:p w:rsidR="003667E5" w:rsidRDefault="00B14530" w:rsidP="003667E5">
      <w:pPr>
        <w:pStyle w:val="1"/>
        <w:numPr>
          <w:ilvl w:val="0"/>
          <w:numId w:val="4"/>
        </w:numPr>
        <w:jc w:val="center"/>
        <w:rPr>
          <w:rFonts w:ascii="Arial" w:hAnsi="Arial" w:cs="Arial"/>
          <w:sz w:val="22"/>
          <w:szCs w:val="22"/>
        </w:rPr>
      </w:pPr>
      <w:r w:rsidRPr="00BF41FB">
        <w:rPr>
          <w:rFonts w:ascii="Arial" w:hAnsi="Arial" w:cs="Arial"/>
          <w:sz w:val="22"/>
          <w:szCs w:val="22"/>
        </w:rPr>
        <w:t xml:space="preserve">Από το πρακτικό της </w:t>
      </w:r>
      <w:proofErr w:type="spellStart"/>
      <w:r w:rsidRPr="00BF41FB">
        <w:rPr>
          <w:rFonts w:ascii="Arial" w:hAnsi="Arial" w:cs="Arial"/>
          <w:sz w:val="22"/>
          <w:szCs w:val="22"/>
        </w:rPr>
        <w:t>αριθμ</w:t>
      </w:r>
      <w:proofErr w:type="spellEnd"/>
      <w:r w:rsidRPr="00BF41FB">
        <w:rPr>
          <w:rFonts w:ascii="Arial" w:hAnsi="Arial" w:cs="Arial"/>
          <w:sz w:val="22"/>
          <w:szCs w:val="22"/>
        </w:rPr>
        <w:t>.  42</w:t>
      </w:r>
      <w:r w:rsidRPr="00BF41FB">
        <w:rPr>
          <w:rFonts w:ascii="Arial" w:hAnsi="Arial" w:cs="Arial"/>
          <w:sz w:val="22"/>
          <w:szCs w:val="22"/>
          <w:vertAlign w:val="superscript"/>
        </w:rPr>
        <w:t>ης</w:t>
      </w:r>
      <w:r w:rsidRPr="00BF41FB">
        <w:rPr>
          <w:rFonts w:ascii="Arial" w:hAnsi="Arial" w:cs="Arial"/>
          <w:sz w:val="22"/>
          <w:szCs w:val="22"/>
        </w:rPr>
        <w:t xml:space="preserve">  /2025</w:t>
      </w:r>
      <w:r w:rsidRPr="00BF41FB">
        <w:rPr>
          <w:rFonts w:ascii="Arial" w:hAnsi="Arial" w:cs="Arial"/>
          <w:b/>
          <w:sz w:val="22"/>
          <w:szCs w:val="22"/>
        </w:rPr>
        <w:t xml:space="preserve">  </w:t>
      </w:r>
      <w:r w:rsidRPr="00BF41FB">
        <w:rPr>
          <w:rFonts w:ascii="Arial" w:hAnsi="Arial" w:cs="Arial"/>
          <w:sz w:val="22"/>
          <w:szCs w:val="22"/>
        </w:rPr>
        <w:t xml:space="preserve">ΤΑΚΤΙΚΗΣ Συνεδρίασης </w:t>
      </w:r>
      <w:r w:rsidRPr="00BF41FB">
        <w:rPr>
          <w:rFonts w:ascii="Arial" w:eastAsia="Arial" w:hAnsi="Arial" w:cs="Arial"/>
          <w:sz w:val="22"/>
          <w:szCs w:val="22"/>
        </w:rPr>
        <w:t xml:space="preserve"> </w:t>
      </w:r>
      <w:r w:rsidRPr="00BF41FB">
        <w:rPr>
          <w:rFonts w:ascii="Arial" w:hAnsi="Arial" w:cs="Arial"/>
          <w:sz w:val="22"/>
          <w:szCs w:val="22"/>
        </w:rPr>
        <w:t xml:space="preserve">της  Δημοτικής  Επιτροπής  Δήμου </w:t>
      </w:r>
      <w:proofErr w:type="spellStart"/>
      <w:r w:rsidRPr="00BF41FB">
        <w:rPr>
          <w:rFonts w:ascii="Arial" w:hAnsi="Arial" w:cs="Arial"/>
          <w:sz w:val="22"/>
          <w:szCs w:val="22"/>
        </w:rPr>
        <w:t>Λεβαδέων</w:t>
      </w:r>
      <w:proofErr w:type="spellEnd"/>
    </w:p>
    <w:p w:rsidR="00B14530" w:rsidRPr="003667E5" w:rsidRDefault="00B14530" w:rsidP="003667E5">
      <w:pPr>
        <w:pStyle w:val="1"/>
        <w:numPr>
          <w:ilvl w:val="0"/>
          <w:numId w:val="4"/>
        </w:numPr>
        <w:jc w:val="center"/>
        <w:rPr>
          <w:rFonts w:ascii="Arial" w:hAnsi="Arial" w:cs="Arial"/>
          <w:sz w:val="22"/>
          <w:szCs w:val="22"/>
        </w:rPr>
      </w:pPr>
      <w:r w:rsidRPr="003667E5">
        <w:rPr>
          <w:rFonts w:ascii="Arial" w:hAnsi="Arial" w:cs="Arial"/>
          <w:b/>
          <w:sz w:val="22"/>
          <w:szCs w:val="22"/>
        </w:rPr>
        <w:t>Αριθμός απόφασης</w:t>
      </w:r>
      <w:r w:rsidRPr="003667E5">
        <w:rPr>
          <w:rFonts w:ascii="Arial" w:eastAsia="SimSun" w:hAnsi="Arial" w:cs="Arial"/>
          <w:sz w:val="22"/>
          <w:szCs w:val="22"/>
          <w:highlight w:val="white"/>
        </w:rPr>
        <w:t xml:space="preserve">  </w:t>
      </w:r>
      <w:r w:rsidRPr="003667E5">
        <w:rPr>
          <w:rFonts w:ascii="Arial" w:eastAsia="SimSun" w:hAnsi="Arial" w:cs="Arial"/>
          <w:b/>
          <w:sz w:val="22"/>
          <w:szCs w:val="22"/>
          <w:highlight w:val="white"/>
        </w:rPr>
        <w:t>4</w:t>
      </w:r>
      <w:r w:rsidR="00FC15AE">
        <w:rPr>
          <w:rFonts w:ascii="Arial" w:eastAsia="SimSun" w:hAnsi="Arial" w:cs="Arial"/>
          <w:b/>
          <w:sz w:val="22"/>
          <w:szCs w:val="22"/>
          <w:highlight w:val="white"/>
        </w:rPr>
        <w:t>42</w:t>
      </w:r>
    </w:p>
    <w:p w:rsidR="00FC15AE" w:rsidRPr="00FC15AE" w:rsidRDefault="00FC15AE" w:rsidP="00FC15AE">
      <w:pPr>
        <w:pStyle w:val="wP4"/>
        <w:shd w:val="clear" w:color="auto" w:fill="FFFFFF"/>
        <w:jc w:val="both"/>
        <w:rPr>
          <w:rFonts w:ascii="Arial" w:hAnsi="Arial" w:cs="Arial"/>
          <w:b/>
          <w:sz w:val="22"/>
          <w:szCs w:val="22"/>
        </w:rPr>
      </w:pPr>
      <w:proofErr w:type="spellStart"/>
      <w:r w:rsidRPr="00FC15AE">
        <w:rPr>
          <w:rFonts w:ascii="Arial" w:hAnsi="Arial" w:cs="Arial"/>
          <w:b/>
          <w:sz w:val="22"/>
          <w:szCs w:val="22"/>
        </w:rPr>
        <w:t>΄Εγκριση</w:t>
      </w:r>
      <w:proofErr w:type="spellEnd"/>
      <w:r w:rsidRPr="00FC15AE">
        <w:rPr>
          <w:rFonts w:ascii="Arial" w:hAnsi="Arial" w:cs="Arial"/>
          <w:b/>
          <w:sz w:val="22"/>
          <w:szCs w:val="22"/>
        </w:rPr>
        <w:t xml:space="preserve"> 1</w:t>
      </w:r>
      <w:r w:rsidRPr="00FC15AE">
        <w:rPr>
          <w:rFonts w:ascii="Arial" w:hAnsi="Arial" w:cs="Arial"/>
          <w:b/>
          <w:sz w:val="22"/>
          <w:szCs w:val="22"/>
          <w:vertAlign w:val="superscript"/>
        </w:rPr>
        <w:t>ου</w:t>
      </w:r>
      <w:r w:rsidRPr="00FC15AE">
        <w:rPr>
          <w:rFonts w:ascii="Arial" w:hAnsi="Arial" w:cs="Arial"/>
          <w:b/>
          <w:sz w:val="22"/>
          <w:szCs w:val="22"/>
        </w:rPr>
        <w:t xml:space="preserve"> Ανακεφαλαιωτικού Πίνακα Εργασιών και 1</w:t>
      </w:r>
      <w:r w:rsidRPr="00FC15AE">
        <w:rPr>
          <w:rFonts w:ascii="Arial" w:hAnsi="Arial" w:cs="Arial"/>
          <w:b/>
          <w:sz w:val="22"/>
          <w:szCs w:val="22"/>
          <w:vertAlign w:val="superscript"/>
        </w:rPr>
        <w:t>ου</w:t>
      </w:r>
      <w:r w:rsidRPr="00FC15AE">
        <w:rPr>
          <w:rFonts w:ascii="Arial" w:hAnsi="Arial" w:cs="Arial"/>
          <w:b/>
          <w:sz w:val="22"/>
          <w:szCs w:val="22"/>
        </w:rPr>
        <w:t xml:space="preserve">  Π.Κ.Τ.Μ.Ν.Ε του έργου: «ΑΝΑΒΑΘΜΙΣΗ ΔΗΜΟΤΙΚΟΥ ΣΤΑΔΙΟΥ ΛΙΒΑΔΕΙΑΣ».</w:t>
      </w:r>
    </w:p>
    <w:p w:rsidR="003667E5" w:rsidRDefault="003667E5" w:rsidP="003667E5">
      <w:pPr>
        <w:pStyle w:val="wP4"/>
        <w:shd w:val="clear" w:color="auto" w:fill="FFFFFF"/>
        <w:ind w:left="720"/>
        <w:jc w:val="both"/>
        <w:rPr>
          <w:rFonts w:ascii="Arial" w:hAnsi="Arial" w:cs="Arial"/>
          <w:sz w:val="22"/>
          <w:szCs w:val="22"/>
        </w:rPr>
      </w:pPr>
    </w:p>
    <w:p w:rsidR="00B14530" w:rsidRPr="00BF41FB" w:rsidRDefault="00B14530" w:rsidP="003667E5">
      <w:pPr>
        <w:pStyle w:val="wP4"/>
        <w:shd w:val="clear" w:color="auto" w:fill="FFFFFF"/>
        <w:jc w:val="both"/>
        <w:rPr>
          <w:rFonts w:ascii="Arial" w:hAnsi="Arial" w:cs="Arial"/>
          <w:sz w:val="22"/>
          <w:szCs w:val="22"/>
        </w:rPr>
      </w:pPr>
      <w:r w:rsidRPr="00BF41FB">
        <w:rPr>
          <w:rFonts w:ascii="Arial" w:hAnsi="Arial" w:cs="Arial"/>
          <w:sz w:val="22"/>
          <w:szCs w:val="22"/>
        </w:rPr>
        <w:t>Στη Λιβαδειά σήμερα   01</w:t>
      </w:r>
      <w:r w:rsidRPr="00BF41FB">
        <w:rPr>
          <w:rFonts w:ascii="Arial" w:hAnsi="Arial" w:cs="Arial"/>
          <w:sz w:val="22"/>
          <w:szCs w:val="22"/>
          <w:vertAlign w:val="superscript"/>
        </w:rPr>
        <w:t>η</w:t>
      </w:r>
      <w:r w:rsidRPr="00BF41FB">
        <w:rPr>
          <w:rFonts w:ascii="Arial" w:hAnsi="Arial" w:cs="Arial"/>
          <w:sz w:val="22"/>
          <w:szCs w:val="22"/>
        </w:rPr>
        <w:t xml:space="preserve">   Δεκεμβρίου    2025  ημέρα  Δευτέρα και  ώρα 10.00 </w:t>
      </w:r>
      <w:proofErr w:type="spellStart"/>
      <w:r w:rsidRPr="00BF41FB">
        <w:rPr>
          <w:rFonts w:ascii="Arial" w:hAnsi="Arial" w:cs="Arial"/>
          <w:sz w:val="22"/>
          <w:szCs w:val="22"/>
        </w:rPr>
        <w:t>π.μ</w:t>
      </w:r>
      <w:proofErr w:type="spellEnd"/>
      <w:r w:rsidRPr="00BF41FB">
        <w:rPr>
          <w:rFonts w:ascii="Arial" w:hAnsi="Arial" w:cs="Arial"/>
          <w:sz w:val="22"/>
          <w:szCs w:val="22"/>
        </w:rPr>
        <w:t xml:space="preserve">.  και στην αίθουσα συνεδριάσεων του Δημοτικού Συμβουλίου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μετά την από  24263/27-11-2025 έγγραφη πρόσκληση του  Προέδρου της (Δημάρχου </w:t>
      </w:r>
      <w:proofErr w:type="spellStart"/>
      <w:r w:rsidRPr="00BF41FB">
        <w:rPr>
          <w:rFonts w:ascii="Arial" w:hAnsi="Arial" w:cs="Arial"/>
          <w:sz w:val="22"/>
          <w:szCs w:val="22"/>
        </w:rPr>
        <w:t>Λεβαδέων</w:t>
      </w:r>
      <w:proofErr w:type="spellEnd"/>
      <w:r w:rsidRPr="00BF41F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F41FB">
        <w:rPr>
          <w:rFonts w:ascii="Arial" w:hAnsi="Arial" w:cs="Arial"/>
          <w:sz w:val="22"/>
          <w:szCs w:val="22"/>
          <w:vertAlign w:val="superscript"/>
        </w:rPr>
        <w:t>Α</w:t>
      </w:r>
      <w:r w:rsidRPr="00BF41F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Αφού  διαπιστώθηκε ότι υπάρχει νόμιμη απαρτία, επειδή σε σύνολο 7 (επτά)  μελών ήταν</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παρόντα  5  (πέντε)  , ήτοι:</w:t>
      </w:r>
    </w:p>
    <w:p w:rsidR="00B14530" w:rsidRPr="00BF41FB" w:rsidRDefault="00B14530" w:rsidP="00B14530">
      <w:pPr>
        <w:pStyle w:val="35"/>
        <w:ind w:left="284"/>
        <w:jc w:val="both"/>
        <w:rPr>
          <w:rFonts w:ascii="Arial" w:hAnsi="Arial" w:cs="Arial"/>
          <w:sz w:val="22"/>
          <w:szCs w:val="22"/>
        </w:rPr>
      </w:pPr>
    </w:p>
    <w:p w:rsidR="00B14530" w:rsidRPr="00BF41FB" w:rsidRDefault="00B14530" w:rsidP="00B14530">
      <w:pPr>
        <w:jc w:val="both"/>
        <w:rPr>
          <w:rFonts w:ascii="Arial" w:hAnsi="Arial" w:cs="Arial"/>
          <w:b/>
          <w:sz w:val="22"/>
          <w:szCs w:val="22"/>
        </w:rPr>
      </w:pPr>
      <w:r w:rsidRPr="00BF41FB">
        <w:rPr>
          <w:rFonts w:ascii="Arial" w:hAnsi="Arial" w:cs="Arial"/>
          <w:sz w:val="22"/>
          <w:szCs w:val="22"/>
        </w:rPr>
        <w:t xml:space="preserve">                 </w:t>
      </w:r>
      <w:r w:rsidRPr="00BF41FB">
        <w:rPr>
          <w:rFonts w:ascii="Arial" w:hAnsi="Arial" w:cs="Arial"/>
          <w:b/>
          <w:sz w:val="22"/>
          <w:szCs w:val="22"/>
        </w:rPr>
        <w:t xml:space="preserve"> ΠΑΡΟΝΤΕΣ                                                                                         ΑΠΟΝΤΕΣ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color w:val="000000"/>
          <w:sz w:val="22"/>
          <w:szCs w:val="22"/>
        </w:rPr>
        <w:t xml:space="preserve">     </w:t>
      </w:r>
      <w:r w:rsidRPr="00BF41FB">
        <w:rPr>
          <w:rFonts w:ascii="Arial" w:hAnsi="Arial" w:cs="Arial"/>
          <w:sz w:val="22"/>
          <w:szCs w:val="22"/>
        </w:rPr>
        <w:t xml:space="preserve"> 1. </w:t>
      </w:r>
      <w:proofErr w:type="spellStart"/>
      <w:r w:rsidRPr="00BF41FB">
        <w:rPr>
          <w:rFonts w:ascii="Arial" w:hAnsi="Arial" w:cs="Arial"/>
          <w:sz w:val="22"/>
          <w:szCs w:val="22"/>
        </w:rPr>
        <w:t>Καραμάνης</w:t>
      </w:r>
      <w:proofErr w:type="spellEnd"/>
      <w:r w:rsidRPr="00BF41FB">
        <w:rPr>
          <w:rFonts w:ascii="Arial" w:hAnsi="Arial" w:cs="Arial"/>
          <w:sz w:val="22"/>
          <w:szCs w:val="22"/>
        </w:rPr>
        <w:t xml:space="preserve">  Δημήτριος-Πρόεδρος                                            1.Μίχας Δημήτριος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2. </w:t>
      </w:r>
      <w:proofErr w:type="spellStart"/>
      <w:r w:rsidRPr="00BF41FB">
        <w:rPr>
          <w:rFonts w:ascii="Arial" w:hAnsi="Arial" w:cs="Arial"/>
          <w:sz w:val="22"/>
          <w:szCs w:val="22"/>
        </w:rPr>
        <w:t>Τουμαράς</w:t>
      </w:r>
      <w:proofErr w:type="spellEnd"/>
      <w:r w:rsidRPr="00BF41FB">
        <w:rPr>
          <w:rFonts w:ascii="Arial" w:hAnsi="Arial" w:cs="Arial"/>
          <w:sz w:val="22"/>
          <w:szCs w:val="22"/>
        </w:rPr>
        <w:t xml:space="preserve"> Βασίλειος                                                         (αν και είχε νόμιμα προσκληθεί)</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3. </w:t>
      </w:r>
      <w:proofErr w:type="spellStart"/>
      <w:r w:rsidRPr="00BF41FB">
        <w:rPr>
          <w:rFonts w:ascii="Arial" w:hAnsi="Arial" w:cs="Arial"/>
          <w:sz w:val="22"/>
          <w:szCs w:val="22"/>
        </w:rPr>
        <w:t>Καλλιαντάσης</w:t>
      </w:r>
      <w:proofErr w:type="spellEnd"/>
      <w:r w:rsidRPr="00BF41FB">
        <w:rPr>
          <w:rFonts w:ascii="Arial" w:hAnsi="Arial" w:cs="Arial"/>
          <w:sz w:val="22"/>
          <w:szCs w:val="22"/>
        </w:rPr>
        <w:t xml:space="preserve">  Χρήστος                                                          </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4. </w:t>
      </w:r>
      <w:proofErr w:type="spellStart"/>
      <w:r w:rsidRPr="00BF41FB">
        <w:rPr>
          <w:rFonts w:ascii="Arial" w:hAnsi="Arial" w:cs="Arial"/>
          <w:sz w:val="22"/>
          <w:szCs w:val="22"/>
        </w:rPr>
        <w:t>Αγνιάδης</w:t>
      </w:r>
      <w:proofErr w:type="spellEnd"/>
      <w:r w:rsidRPr="00BF41FB">
        <w:rPr>
          <w:rFonts w:ascii="Arial" w:hAnsi="Arial" w:cs="Arial"/>
          <w:sz w:val="22"/>
          <w:szCs w:val="22"/>
        </w:rPr>
        <w:t xml:space="preserve">  Παναγιώτης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5. Παπαβασιλείου Αικατερίνη  </w:t>
      </w:r>
    </w:p>
    <w:p w:rsidR="00B14530" w:rsidRPr="003075BA" w:rsidRDefault="00B14530" w:rsidP="00B14530">
      <w:pPr>
        <w:tabs>
          <w:tab w:val="left" w:pos="360"/>
          <w:tab w:val="left" w:pos="6237"/>
        </w:tabs>
        <w:rPr>
          <w:rFonts w:asciiTheme="minorHAnsi" w:hAnsiTheme="minorHAnsi" w:cstheme="minorHAnsi"/>
          <w:sz w:val="22"/>
          <w:szCs w:val="22"/>
        </w:rPr>
      </w:pPr>
      <w:r w:rsidRPr="00BF41FB">
        <w:rPr>
          <w:rFonts w:ascii="Arial" w:hAnsi="Arial" w:cs="Arial"/>
          <w:sz w:val="22"/>
          <w:szCs w:val="22"/>
        </w:rPr>
        <w:t xml:space="preserve">      6.Ταγκαλέγκας Ιωάννης (προσήλθε στο 2</w:t>
      </w:r>
      <w:r w:rsidRPr="00BF41FB">
        <w:rPr>
          <w:rFonts w:ascii="Arial" w:hAnsi="Arial" w:cs="Arial"/>
          <w:sz w:val="22"/>
          <w:szCs w:val="22"/>
          <w:vertAlign w:val="superscript"/>
        </w:rPr>
        <w:t>ο</w:t>
      </w:r>
      <w:r w:rsidRPr="00BF41FB">
        <w:rPr>
          <w:rFonts w:ascii="Arial" w:hAnsi="Arial" w:cs="Arial"/>
          <w:sz w:val="22"/>
          <w:szCs w:val="22"/>
        </w:rPr>
        <w:t xml:space="preserve"> Θ.Η.Δ. –</w:t>
      </w:r>
      <w:r w:rsidR="00BF41FB">
        <w:rPr>
          <w:rFonts w:ascii="Arial" w:hAnsi="Arial" w:cs="Arial"/>
          <w:sz w:val="22"/>
          <w:szCs w:val="22"/>
        </w:rPr>
        <w:t xml:space="preserve"> </w:t>
      </w:r>
      <w:r w:rsidRPr="00BF41FB">
        <w:rPr>
          <w:rFonts w:ascii="Arial" w:hAnsi="Arial" w:cs="Arial"/>
          <w:sz w:val="22"/>
          <w:szCs w:val="22"/>
        </w:rPr>
        <w:t>αποχώρησε στο 9</w:t>
      </w:r>
      <w:r w:rsidRPr="00BF41FB">
        <w:rPr>
          <w:rFonts w:ascii="Arial" w:hAnsi="Arial" w:cs="Arial"/>
          <w:sz w:val="22"/>
          <w:szCs w:val="22"/>
          <w:vertAlign w:val="superscript"/>
        </w:rPr>
        <w:t>ο</w:t>
      </w:r>
      <w:r w:rsidRPr="00BF41FB">
        <w:rPr>
          <w:rFonts w:ascii="Arial" w:hAnsi="Arial" w:cs="Arial"/>
          <w:sz w:val="22"/>
          <w:szCs w:val="22"/>
        </w:rPr>
        <w:t xml:space="preserve"> Θ.Η.Δ.)                                           </w:t>
      </w:r>
      <w:r w:rsidRPr="003075BA">
        <w:rPr>
          <w:rFonts w:asciiTheme="minorHAnsi" w:hAnsiTheme="minorHAnsi" w:cstheme="minorHAnsi"/>
          <w:sz w:val="22"/>
          <w:szCs w:val="22"/>
        </w:rPr>
        <w:t xml:space="preserve">   </w:t>
      </w:r>
    </w:p>
    <w:p w:rsidR="00B14530" w:rsidRPr="003075BA" w:rsidRDefault="00B14530" w:rsidP="00B14530">
      <w:pPr>
        <w:tabs>
          <w:tab w:val="left" w:pos="360"/>
          <w:tab w:val="left" w:pos="6237"/>
        </w:tabs>
        <w:rPr>
          <w:rFonts w:asciiTheme="minorHAnsi" w:hAnsiTheme="minorHAnsi" w:cstheme="minorHAnsi"/>
          <w:sz w:val="22"/>
          <w:szCs w:val="22"/>
        </w:rPr>
      </w:pPr>
      <w:r w:rsidRPr="003075BA">
        <w:rPr>
          <w:rFonts w:asciiTheme="minorHAnsi" w:hAnsiTheme="minorHAnsi" w:cstheme="minorHAnsi"/>
          <w:sz w:val="22"/>
          <w:szCs w:val="22"/>
        </w:rPr>
        <w:t xml:space="preserve">      </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FC15AE">
        <w:rPr>
          <w:rFonts w:ascii="Arial" w:eastAsia="Arial" w:hAnsi="Arial" w:cs="Arial"/>
          <w:sz w:val="22"/>
          <w:szCs w:val="22"/>
        </w:rPr>
        <w:t>8</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3667E5">
        <w:rPr>
          <w:rFonts w:ascii="Arial" w:hAnsi="Arial" w:cs="Arial"/>
          <w:sz w:val="22"/>
          <w:szCs w:val="22"/>
        </w:rPr>
        <w:t>39</w:t>
      </w:r>
      <w:r w:rsidR="00FC15AE">
        <w:rPr>
          <w:rFonts w:ascii="Arial" w:hAnsi="Arial" w:cs="Arial"/>
          <w:sz w:val="22"/>
          <w:szCs w:val="22"/>
        </w:rPr>
        <w:t>82/</w:t>
      </w:r>
      <w:r w:rsidR="00BF41FB">
        <w:rPr>
          <w:rFonts w:ascii="Arial" w:eastAsia="Arial" w:hAnsi="Arial" w:cs="Arial"/>
          <w:sz w:val="22"/>
          <w:szCs w:val="22"/>
        </w:rPr>
        <w:t>2</w:t>
      </w:r>
      <w:r w:rsidR="003667E5">
        <w:rPr>
          <w:rFonts w:ascii="Arial" w:eastAsia="Arial" w:hAnsi="Arial" w:cs="Arial"/>
          <w:sz w:val="22"/>
          <w:szCs w:val="22"/>
        </w:rPr>
        <w:t>5</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FC15AE">
        <w:rPr>
          <w:rFonts w:ascii="Arial" w:eastAsia="Arial" w:hAnsi="Arial" w:cs="Arial"/>
          <w:sz w:val="22"/>
          <w:szCs w:val="22"/>
        </w:rPr>
        <w:t>της Δ/</w:t>
      </w:r>
      <w:proofErr w:type="spellStart"/>
      <w:r w:rsidR="00FC15AE">
        <w:rPr>
          <w:rFonts w:ascii="Arial" w:eastAsia="Arial" w:hAnsi="Arial" w:cs="Arial"/>
          <w:sz w:val="22"/>
          <w:szCs w:val="22"/>
        </w:rPr>
        <w:t>νσης</w:t>
      </w:r>
      <w:proofErr w:type="spellEnd"/>
      <w:r w:rsidR="00FC15AE">
        <w:rPr>
          <w:rFonts w:ascii="Arial" w:eastAsia="Arial" w:hAnsi="Arial" w:cs="Arial"/>
          <w:sz w:val="22"/>
          <w:szCs w:val="22"/>
        </w:rPr>
        <w:t xml:space="preserve"> Τεχνικών Υπηρεσιών </w:t>
      </w:r>
      <w:r w:rsidR="00B20AF3" w:rsidRPr="00727966">
        <w:rPr>
          <w:rFonts w:ascii="Arial" w:eastAsia="Arial" w:hAnsi="Arial" w:cs="Arial"/>
          <w:sz w:val="22"/>
          <w:szCs w:val="22"/>
        </w:rPr>
        <w:t xml:space="preserve"> του </w:t>
      </w:r>
      <w:r w:rsidR="00B20AF3" w:rsidRPr="00727966">
        <w:rPr>
          <w:rFonts w:ascii="Arial" w:hAnsi="Arial" w:cs="Arial"/>
          <w:sz w:val="22"/>
          <w:szCs w:val="22"/>
        </w:rPr>
        <w:t xml:space="preserve">Δήμου  </w:t>
      </w:r>
      <w:proofErr w:type="spellStart"/>
      <w:r w:rsidR="00B20AF3" w:rsidRPr="00727966">
        <w:rPr>
          <w:rFonts w:ascii="Arial" w:hAnsi="Arial" w:cs="Arial"/>
          <w:sz w:val="22"/>
          <w:szCs w:val="22"/>
        </w:rPr>
        <w:t>Λεβαδέων</w:t>
      </w:r>
      <w:proofErr w:type="spellEnd"/>
      <w:r w:rsidR="00B20AF3">
        <w:rPr>
          <w:rFonts w:ascii="Arial" w:hAnsi="Arial" w:cs="Arial"/>
          <w:sz w:val="22"/>
          <w:szCs w:val="22"/>
        </w:rPr>
        <w:t xml:space="preserve"> </w:t>
      </w:r>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4A1E02" w:rsidRDefault="004A1E02" w:rsidP="00B20AF3">
      <w:pPr>
        <w:widowControl w:val="0"/>
        <w:spacing w:line="276" w:lineRule="auto"/>
        <w:jc w:val="both"/>
        <w:rPr>
          <w:rFonts w:ascii="Arial" w:hAnsi="Arial" w:cs="Arial"/>
          <w:sz w:val="22"/>
          <w:szCs w:val="22"/>
        </w:rPr>
      </w:pPr>
    </w:p>
    <w:p w:rsidR="00FC15AE" w:rsidRPr="004A1E02" w:rsidRDefault="00FC15AE" w:rsidP="00FC15AE">
      <w:pPr>
        <w:rPr>
          <w:rFonts w:ascii="Arial" w:hAnsi="Arial" w:cs="Arial"/>
          <w:b/>
          <w:i/>
          <w:sz w:val="22"/>
          <w:szCs w:val="22"/>
          <w:u w:val="single"/>
        </w:rPr>
      </w:pPr>
      <w:r w:rsidRPr="004A1E02">
        <w:rPr>
          <w:rFonts w:ascii="Arial" w:hAnsi="Arial" w:cs="Arial"/>
          <w:b/>
          <w:i/>
          <w:sz w:val="22"/>
          <w:szCs w:val="22"/>
          <w:u w:val="single"/>
        </w:rPr>
        <w:t>Α.ΙΣΤΟΡΙΚΟ</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 xml:space="preserve">Αντικείμενο της παρούσας εργολαβίας είναι η αναβάθμιση του Δημοτικού  Σταδίου Λιβαδειάς και οι επεμβάσεις περιλαμβάνουν τις παρακάτω ομάδες εργασιών </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Κατασκευή υποδομών στίβου στα πέταλα του γηπέδου</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Αποξήλωση ταρτάν στίβου</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Εξομάλυνση υποδομής τμήματος ταρτάν στίβου</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Επίστρωση ταρτάν στίβου με συνθετικό τάπητα</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Κατασκευή μέρους στεγάστρου δυτικά του υπάρχοντος μετά μεμβράνης</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 xml:space="preserve">Αντιδιαβρωτική προστασία σιδηρών επιφανειών στην μεταλλική νότια κερκίδα του γηπέδου </w:t>
      </w:r>
    </w:p>
    <w:p w:rsidR="00FC15AE" w:rsidRPr="004A1E02" w:rsidRDefault="00FC15AE" w:rsidP="00FC15AE">
      <w:pPr>
        <w:autoSpaceDE w:val="0"/>
        <w:autoSpaceDN w:val="0"/>
        <w:adjustRightInd w:val="0"/>
        <w:jc w:val="both"/>
        <w:rPr>
          <w:rFonts w:ascii="Arial" w:hAnsi="Arial" w:cs="Arial"/>
          <w:i/>
          <w:sz w:val="22"/>
          <w:szCs w:val="22"/>
        </w:rPr>
      </w:pP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Για την εκτέλεση του έργου συντάχθηκε η μελέτη με αριθμό 89/2018 προϋπολογισμού δαπάνης 1.200.000,00 €, από την Τεχνική Υπηρεσία του Δήμου </w:t>
      </w:r>
      <w:proofErr w:type="spellStart"/>
      <w:r w:rsidRPr="004A1E02">
        <w:rPr>
          <w:rFonts w:ascii="Arial" w:hAnsi="Arial" w:cs="Arial"/>
          <w:i/>
          <w:sz w:val="22"/>
          <w:szCs w:val="22"/>
        </w:rPr>
        <w:t>Λεβαδέων</w:t>
      </w:r>
      <w:proofErr w:type="spellEnd"/>
      <w:r w:rsidRPr="004A1E02">
        <w:rPr>
          <w:rFonts w:ascii="Arial" w:hAnsi="Arial" w:cs="Arial"/>
          <w:i/>
          <w:sz w:val="22"/>
          <w:szCs w:val="22"/>
        </w:rPr>
        <w:t xml:space="preserve">.   </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lastRenderedPageBreak/>
        <w:t xml:space="preserve">Με την υπ’ αριθμόν 25 / 2020 Απόφαση της Οικονομικής Επιτροπής του Δήμου </w:t>
      </w:r>
      <w:proofErr w:type="spellStart"/>
      <w:r w:rsidRPr="004A1E02">
        <w:rPr>
          <w:rFonts w:ascii="Arial" w:hAnsi="Arial" w:cs="Arial"/>
          <w:i/>
          <w:sz w:val="22"/>
          <w:szCs w:val="22"/>
        </w:rPr>
        <w:t>Λεβαδέων</w:t>
      </w:r>
      <w:proofErr w:type="spellEnd"/>
      <w:r w:rsidRPr="004A1E02">
        <w:rPr>
          <w:rFonts w:ascii="Arial" w:hAnsi="Arial" w:cs="Arial"/>
          <w:i/>
          <w:sz w:val="22"/>
          <w:szCs w:val="22"/>
        </w:rPr>
        <w:t xml:space="preserve"> καταρτίστηκαν οι όροι Διακήρυξης για τη δημοπράτηση του έργου: "  Αναβάθμιση  Δημοτικού Σταδίου Λιβαδειάς " .</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Με την </w:t>
      </w:r>
      <w:proofErr w:type="spellStart"/>
      <w:r w:rsidRPr="004A1E02">
        <w:rPr>
          <w:rFonts w:ascii="Arial" w:hAnsi="Arial" w:cs="Arial"/>
          <w:i/>
          <w:sz w:val="22"/>
          <w:szCs w:val="22"/>
        </w:rPr>
        <w:t>υπ΄</w:t>
      </w:r>
      <w:proofErr w:type="spellEnd"/>
      <w:r w:rsidRPr="004A1E02">
        <w:rPr>
          <w:rFonts w:ascii="Arial" w:hAnsi="Arial" w:cs="Arial"/>
          <w:i/>
          <w:sz w:val="22"/>
          <w:szCs w:val="22"/>
        </w:rPr>
        <w:t xml:space="preserve"> αριθμό 219/2021 (ΑΔΑ 6Α07ΩΛΗ-ΩΗΧ) απόφαση της Οικονομικής Επιτροπής έγινε έγκριση πρακτικού ΙΙΙ Ηλεκτρονικής δημοπρασίας με Α/Α ΕΣΗΔΗΣ 88138 και κατακύρωση δημόσιας σύμβασης του Έργου «ΑΝΑΒΑΘΜΙΣΗ ΔΗΜΟΤΙΚΟΥ ΣΤΑΔΙΟΥ ΛΙΒΑΔΕΙΑΣ», στον Οικονομικό Φορέα με την επωνυμία  «</w:t>
      </w:r>
      <w:proofErr w:type="spellStart"/>
      <w:r w:rsidRPr="004A1E02">
        <w:rPr>
          <w:rFonts w:ascii="Arial" w:hAnsi="Arial" w:cs="Arial"/>
          <w:i/>
          <w:sz w:val="22"/>
          <w:szCs w:val="22"/>
        </w:rPr>
        <w:t>Γυφτοδήμος</w:t>
      </w:r>
      <w:proofErr w:type="spellEnd"/>
      <w:r w:rsidRPr="004A1E02">
        <w:rPr>
          <w:rFonts w:ascii="Arial" w:hAnsi="Arial" w:cs="Arial"/>
          <w:i/>
          <w:sz w:val="22"/>
          <w:szCs w:val="22"/>
        </w:rPr>
        <w:t xml:space="preserve"> Ευάγγελος του Γεωργίου» , με μέση τεκμαρτή έκπτωση 47,07% επί των τιμών του τιμολογίου της μελέτης και σύνολο δαπάνης του έργου (χωρίς ΦΠΑ) κατά την  προσφορά 513.496,62€.</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Με το </w:t>
      </w:r>
      <w:proofErr w:type="spellStart"/>
      <w:r w:rsidRPr="004A1E02">
        <w:rPr>
          <w:rFonts w:ascii="Arial" w:hAnsi="Arial" w:cs="Arial"/>
          <w:i/>
          <w:sz w:val="22"/>
          <w:szCs w:val="22"/>
        </w:rPr>
        <w:t>υπ΄</w:t>
      </w:r>
      <w:proofErr w:type="spellEnd"/>
      <w:r w:rsidRPr="004A1E02">
        <w:rPr>
          <w:rFonts w:ascii="Arial" w:hAnsi="Arial" w:cs="Arial"/>
          <w:i/>
          <w:sz w:val="22"/>
          <w:szCs w:val="22"/>
        </w:rPr>
        <w:t xml:space="preserve"> αριθμό </w:t>
      </w:r>
      <w:proofErr w:type="spellStart"/>
      <w:r w:rsidRPr="004A1E02">
        <w:rPr>
          <w:rFonts w:ascii="Arial" w:hAnsi="Arial" w:cs="Arial"/>
          <w:i/>
          <w:sz w:val="22"/>
          <w:szCs w:val="22"/>
        </w:rPr>
        <w:t>πρωτ</w:t>
      </w:r>
      <w:proofErr w:type="spellEnd"/>
      <w:r w:rsidRPr="004A1E02">
        <w:rPr>
          <w:rFonts w:ascii="Arial" w:hAnsi="Arial" w:cs="Arial"/>
          <w:i/>
          <w:sz w:val="22"/>
          <w:szCs w:val="22"/>
        </w:rPr>
        <w:t xml:space="preserve">. 186555/13.09.2021 (ΑΔΑ: 9ΗΜΨΟΡ10-0ΙΝ) Έγγραφο της Αποκεντρωμένης Διοίκησης Θεσσαλίας – Στερεάς Ελλάδας έγινε έλεγχος νομιμότητας  της </w:t>
      </w:r>
      <w:proofErr w:type="spellStart"/>
      <w:r w:rsidRPr="004A1E02">
        <w:rPr>
          <w:rFonts w:ascii="Arial" w:hAnsi="Arial" w:cs="Arial"/>
          <w:i/>
          <w:sz w:val="22"/>
          <w:szCs w:val="22"/>
        </w:rPr>
        <w:t>υπ΄</w:t>
      </w:r>
      <w:proofErr w:type="spellEnd"/>
      <w:r w:rsidRPr="004A1E02">
        <w:rPr>
          <w:rFonts w:ascii="Arial" w:hAnsi="Arial" w:cs="Arial"/>
          <w:i/>
          <w:sz w:val="22"/>
          <w:szCs w:val="22"/>
        </w:rPr>
        <w:t xml:space="preserve"> αριθμό 219/2021 απόφασης της Οικονομικής </w:t>
      </w:r>
      <w:proofErr w:type="spellStart"/>
      <w:r w:rsidRPr="004A1E02">
        <w:rPr>
          <w:rFonts w:ascii="Arial" w:hAnsi="Arial" w:cs="Arial"/>
          <w:i/>
          <w:sz w:val="22"/>
          <w:szCs w:val="22"/>
        </w:rPr>
        <w:t>Επιτροπής.Η</w:t>
      </w:r>
      <w:proofErr w:type="spellEnd"/>
      <w:r w:rsidRPr="004A1E02">
        <w:rPr>
          <w:rFonts w:ascii="Arial" w:hAnsi="Arial" w:cs="Arial"/>
          <w:i/>
          <w:sz w:val="22"/>
          <w:szCs w:val="22"/>
        </w:rPr>
        <w:t xml:space="preserve"> σύμβαση του έργου υπεγράφη στις 18/11/2021, έλαβε αρ. πρωτοκόλλου 21743, και είναι ποσού 513.496,62 €  χωρίς ΦΠΑ, 636.735,81 </w:t>
      </w:r>
      <w:proofErr w:type="spellStart"/>
      <w:r w:rsidRPr="004A1E02">
        <w:rPr>
          <w:rFonts w:ascii="Arial" w:hAnsi="Arial" w:cs="Arial"/>
          <w:i/>
          <w:sz w:val="22"/>
          <w:szCs w:val="22"/>
        </w:rPr>
        <w:t>€με</w:t>
      </w:r>
      <w:proofErr w:type="spellEnd"/>
      <w:r w:rsidRPr="004A1E02">
        <w:rPr>
          <w:rFonts w:ascii="Arial" w:hAnsi="Arial" w:cs="Arial"/>
          <w:i/>
          <w:sz w:val="22"/>
          <w:szCs w:val="22"/>
        </w:rPr>
        <w:t xml:space="preserve">  Φ.Π.Α. 24%.</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Η συνολική προθεσμία του έργου ήταν δώδεκα (12 )  μήνες, ήτοι λήξη εκτέλεσης αυτού   18/11/2022. </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Με την </w:t>
      </w:r>
      <w:proofErr w:type="spellStart"/>
      <w:r w:rsidRPr="004A1E02">
        <w:rPr>
          <w:rFonts w:ascii="Arial" w:hAnsi="Arial" w:cs="Arial"/>
          <w:i/>
          <w:sz w:val="22"/>
          <w:szCs w:val="22"/>
        </w:rPr>
        <w:t>υπ΄αριθμ</w:t>
      </w:r>
      <w:proofErr w:type="spellEnd"/>
      <w:r w:rsidRPr="004A1E02">
        <w:rPr>
          <w:rFonts w:ascii="Arial" w:hAnsi="Arial" w:cs="Arial"/>
          <w:i/>
          <w:sz w:val="22"/>
          <w:szCs w:val="22"/>
        </w:rPr>
        <w:t xml:space="preserve"> 336/2022 απόφαση της Οικονομικής επιτροπής χορηγήθηκε παράταση του συμβατικού χρόνου κατόπιν αιτήματος του αναδόχου για παράταση συμβατικού χρόνου με υπαιτιότητα </w:t>
      </w:r>
      <w:proofErr w:type="spellStart"/>
      <w:r w:rsidRPr="004A1E02">
        <w:rPr>
          <w:rFonts w:ascii="Arial" w:hAnsi="Arial" w:cs="Arial"/>
          <w:i/>
          <w:sz w:val="22"/>
          <w:szCs w:val="22"/>
        </w:rPr>
        <w:t>ΚτΕ</w:t>
      </w:r>
      <w:proofErr w:type="spellEnd"/>
      <w:r w:rsidRPr="004A1E02">
        <w:rPr>
          <w:rFonts w:ascii="Arial" w:hAnsi="Arial" w:cs="Arial"/>
          <w:i/>
          <w:sz w:val="22"/>
          <w:szCs w:val="22"/>
        </w:rPr>
        <w:t xml:space="preserve"> έως 18-09-23 </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Με την </w:t>
      </w:r>
      <w:proofErr w:type="spellStart"/>
      <w:r w:rsidRPr="004A1E02">
        <w:rPr>
          <w:rFonts w:ascii="Arial" w:hAnsi="Arial" w:cs="Arial"/>
          <w:i/>
          <w:sz w:val="22"/>
          <w:szCs w:val="22"/>
        </w:rPr>
        <w:t>υπ΄αριθμ</w:t>
      </w:r>
      <w:proofErr w:type="spellEnd"/>
      <w:r w:rsidRPr="004A1E02">
        <w:rPr>
          <w:rFonts w:ascii="Arial" w:hAnsi="Arial" w:cs="Arial"/>
          <w:i/>
          <w:sz w:val="22"/>
          <w:szCs w:val="22"/>
        </w:rPr>
        <w:t xml:space="preserve">. 252/2023 απόφαση της Οικονομικής επιτροπής χορηγήθηκε παράταση του συμβατικού χρόνου  έως 18-03-2024 </w:t>
      </w:r>
    </w:p>
    <w:p w:rsidR="00FC15AE" w:rsidRPr="004A1E02" w:rsidRDefault="00FC15AE" w:rsidP="00FC15AE">
      <w:pPr>
        <w:pStyle w:val="af9"/>
        <w:numPr>
          <w:ilvl w:val="0"/>
          <w:numId w:val="34"/>
        </w:numPr>
        <w:suppressAutoHyphens w:val="0"/>
        <w:spacing w:line="276" w:lineRule="auto"/>
        <w:jc w:val="both"/>
        <w:rPr>
          <w:rFonts w:ascii="Arial" w:hAnsi="Arial" w:cs="Arial"/>
          <w:i/>
          <w:sz w:val="22"/>
          <w:szCs w:val="22"/>
        </w:rPr>
      </w:pPr>
      <w:r w:rsidRPr="004A1E02">
        <w:rPr>
          <w:rFonts w:ascii="Arial" w:hAnsi="Arial" w:cs="Arial"/>
          <w:i/>
          <w:sz w:val="22"/>
          <w:szCs w:val="22"/>
        </w:rPr>
        <w:t xml:space="preserve">Με την υπ΄αριθμ.75/2024 απόφαση του Δημοτικού Συμβουλίου  χορηγήθηκε παράταση του συμβατικού χρόνου  έως 18-06-2024 </w:t>
      </w:r>
    </w:p>
    <w:p w:rsidR="00FC15AE" w:rsidRPr="004A1E02" w:rsidRDefault="00FC15AE" w:rsidP="00FC15AE">
      <w:pPr>
        <w:pStyle w:val="af9"/>
        <w:ind w:left="0" w:hanging="2"/>
        <w:jc w:val="both"/>
        <w:rPr>
          <w:rFonts w:ascii="Arial" w:hAnsi="Arial" w:cs="Arial"/>
          <w:i/>
          <w:sz w:val="22"/>
          <w:szCs w:val="22"/>
        </w:rPr>
      </w:pPr>
    </w:p>
    <w:p w:rsidR="00FC15AE" w:rsidRPr="004A1E02" w:rsidRDefault="00FC15AE" w:rsidP="00FC15AE">
      <w:pPr>
        <w:rPr>
          <w:rFonts w:ascii="Arial" w:hAnsi="Arial" w:cs="Arial"/>
          <w:b/>
          <w:i/>
          <w:sz w:val="22"/>
          <w:szCs w:val="22"/>
          <w:u w:val="single"/>
        </w:rPr>
      </w:pPr>
      <w:r w:rsidRPr="004A1E02">
        <w:rPr>
          <w:rFonts w:ascii="Arial" w:hAnsi="Arial" w:cs="Arial"/>
          <w:b/>
          <w:i/>
          <w:sz w:val="22"/>
          <w:szCs w:val="22"/>
          <w:u w:val="single"/>
        </w:rPr>
        <w:t>Β. 1ος ΑΝΑΚΕΦΑΛΑΙΩΤΙΚΟΣ ΠΙΝΑΚΑΣ ΕΡΓΑΣΙΩΝ (1ος Α.Π.Ε.) και 1ο Π.Κ.Τ.Μ.Ν.Ε.</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Ο 1ος Ανακεφαλαιωτικός Πίνακας συντάχθηκε προκειμένου να συμπεριλάβει αυξομειώσεις  ποσοτήτων σύμφωνα με τις ανάγκες που προέκυψαν κατά την εκτέλεση του έργου, καθώς και για την εκτέλεση πρόσθετων εργασιών οι οποίες δεν είχαν προληφθεί στην αρχική μελέτη    όπως αναλυτικά περιγράφονται στο 1ο Π.Κ.Τ.Μ.Ν.Ε., με ταυτόχρονη απορρόφηση μέρους των απροβλέπτων (65738,96 ευρώ) συνολικής δαπάνης 66.002,14€.</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 xml:space="preserve">Το 1ο Π.Κ.Τ.Μ.Ν.Ε. συντάχθηκε σύμφωνα με τις εγκεκριμένες αναλύσεις τιμών του ΥΠ.Υ.ΜΕ.ΔΙ. και τις βασικές τιμές υλικών και ημερομισθίων του πρακτικού τιμών Δημοσίων Έργων του 2013 Δ τριμήνου </w:t>
      </w:r>
    </w:p>
    <w:p w:rsidR="00FC15AE" w:rsidRPr="004A1E02" w:rsidRDefault="00FC15AE" w:rsidP="00FC15AE">
      <w:pPr>
        <w:spacing w:before="120"/>
        <w:ind w:firstLine="426"/>
        <w:jc w:val="both"/>
        <w:rPr>
          <w:rFonts w:ascii="Arial" w:hAnsi="Arial" w:cs="Arial"/>
          <w:b/>
          <w:i/>
          <w:sz w:val="22"/>
          <w:szCs w:val="22"/>
          <w:u w:val="single"/>
        </w:rPr>
      </w:pPr>
      <w:r w:rsidRPr="004A1E02">
        <w:rPr>
          <w:rFonts w:ascii="Arial" w:hAnsi="Arial" w:cs="Arial"/>
          <w:b/>
          <w:i/>
          <w:sz w:val="22"/>
          <w:szCs w:val="22"/>
          <w:u w:val="single"/>
        </w:rPr>
        <w:t xml:space="preserve">1ο ΠΚΤΜΝΕ </w:t>
      </w:r>
    </w:p>
    <w:p w:rsidR="00FC15AE" w:rsidRPr="004A1E02" w:rsidRDefault="00FC15AE" w:rsidP="00FC15AE">
      <w:pPr>
        <w:pStyle w:val="aff0"/>
        <w:rPr>
          <w:rFonts w:ascii="Arial" w:hAnsi="Arial" w:cs="Arial"/>
          <w:b/>
          <w:i/>
        </w:rPr>
      </w:pPr>
      <w:r w:rsidRPr="004A1E02">
        <w:rPr>
          <w:rFonts w:ascii="Arial" w:hAnsi="Arial" w:cs="Arial"/>
          <w:b/>
          <w:i/>
        </w:rPr>
        <w:t xml:space="preserve">Α.Τ.:  N.T.1  </w:t>
      </w:r>
    </w:p>
    <w:p w:rsidR="00FC15AE" w:rsidRPr="004A1E02" w:rsidRDefault="00FC15AE" w:rsidP="00FC15AE">
      <w:pPr>
        <w:pStyle w:val="aff0"/>
        <w:ind w:left="360"/>
        <w:rPr>
          <w:rFonts w:ascii="Arial" w:hAnsi="Arial" w:cs="Arial"/>
          <w:i/>
        </w:rPr>
      </w:pPr>
      <w:r w:rsidRPr="004A1E02">
        <w:rPr>
          <w:rFonts w:ascii="Arial" w:hAnsi="Arial" w:cs="Arial"/>
          <w:i/>
        </w:rPr>
        <w:t>ΝΑΟΙΚ.  7396 2Ν     Κατασκευή ενισχυμένης επιφανειακής στοιβάδας στίβου (</w:t>
      </w:r>
      <w:proofErr w:type="spellStart"/>
      <w:r w:rsidRPr="004A1E02">
        <w:rPr>
          <w:rFonts w:ascii="Arial" w:hAnsi="Arial" w:cs="Arial"/>
          <w:i/>
        </w:rPr>
        <w:t>retopping</w:t>
      </w:r>
      <w:proofErr w:type="spellEnd"/>
      <w:r w:rsidRPr="004A1E02">
        <w:rPr>
          <w:rFonts w:ascii="Arial" w:hAnsi="Arial" w:cs="Arial"/>
          <w:i/>
        </w:rPr>
        <w:t xml:space="preserve">) ενδεικτικού πάχους 3 χλστ. </w:t>
      </w:r>
    </w:p>
    <w:p w:rsidR="00FC15AE" w:rsidRPr="004A1E02" w:rsidRDefault="00FC15AE" w:rsidP="00FC15AE">
      <w:pPr>
        <w:pStyle w:val="aff0"/>
        <w:ind w:left="3600" w:hanging="2880"/>
        <w:rPr>
          <w:rFonts w:ascii="Arial" w:hAnsi="Arial" w:cs="Arial"/>
          <w:i/>
        </w:rPr>
      </w:pPr>
      <w:r w:rsidRPr="004A1E02">
        <w:rPr>
          <w:rFonts w:ascii="Arial" w:hAnsi="Arial" w:cs="Arial"/>
          <w:i/>
        </w:rPr>
        <w:t xml:space="preserve">(Κωδικός Αναθεώρησης   ΟΙΚ 7396)                     </w:t>
      </w:r>
    </w:p>
    <w:p w:rsidR="00FC15AE" w:rsidRPr="004A1E02" w:rsidRDefault="00FC15AE" w:rsidP="00FC15AE">
      <w:pPr>
        <w:pStyle w:val="aff0"/>
        <w:ind w:left="3600" w:hanging="2880"/>
        <w:rPr>
          <w:rFonts w:ascii="Arial" w:hAnsi="Arial" w:cs="Arial"/>
          <w:i/>
        </w:rPr>
      </w:pPr>
    </w:p>
    <w:p w:rsidR="00FC15AE" w:rsidRPr="004A1E02" w:rsidRDefault="00FC15AE" w:rsidP="00FC15AE">
      <w:pPr>
        <w:pStyle w:val="aff0"/>
        <w:jc w:val="both"/>
        <w:rPr>
          <w:rFonts w:ascii="Arial" w:hAnsi="Arial" w:cs="Arial"/>
          <w:i/>
        </w:rPr>
      </w:pPr>
      <w:r w:rsidRPr="004A1E02">
        <w:rPr>
          <w:rFonts w:ascii="Arial" w:hAnsi="Arial" w:cs="Arial"/>
          <w:i/>
        </w:rPr>
        <w:tab/>
        <w:t>Κατασκευή ενισχυμένης επιφανειακής στοιβάδας στίβου (</w:t>
      </w:r>
      <w:proofErr w:type="spellStart"/>
      <w:r w:rsidRPr="004A1E02">
        <w:rPr>
          <w:rFonts w:ascii="Arial" w:hAnsi="Arial" w:cs="Arial"/>
          <w:i/>
        </w:rPr>
        <w:t>retopping</w:t>
      </w:r>
      <w:proofErr w:type="spellEnd"/>
      <w:r w:rsidRPr="004A1E02">
        <w:rPr>
          <w:rFonts w:ascii="Arial" w:hAnsi="Arial" w:cs="Arial"/>
          <w:i/>
        </w:rPr>
        <w:t xml:space="preserve">) ενδεικτικού πάχους 3 χλστ  που ανήκει στη κατηγορία ταπήτων της παρ 2,1 σ ότι αφορά την </w:t>
      </w:r>
      <w:proofErr w:type="spellStart"/>
      <w:r w:rsidRPr="004A1E02">
        <w:rPr>
          <w:rFonts w:ascii="Arial" w:hAnsi="Arial" w:cs="Arial"/>
          <w:i/>
        </w:rPr>
        <w:t>υδροπερατότητα</w:t>
      </w:r>
      <w:proofErr w:type="spellEnd"/>
      <w:r w:rsidRPr="004A1E02">
        <w:rPr>
          <w:rFonts w:ascii="Arial" w:hAnsi="Arial" w:cs="Arial"/>
          <w:i/>
        </w:rPr>
        <w:t xml:space="preserve"> , στην κατηγορία ταπήτων της παρ. 3.4.β η 3.4 σ ότι αφορά την σύνθεση και τα υλικά και να εκπληρώνει τις απαιτήσεις της παρ.6 του τεύχος τεχνικών απαιτήσεων ΣΥΝΘΕΤΙΚΟΣ ΤΑΠΗΤΑΣ της υπηρεσίας σύμφωνα με τις απαιτήσεις IAAF , των δαπανών για τον έλεγχο εκπλήρωσης των απαιτήσεων της παρ.6 του τεύχος τεχνικών απαιτήσεων της ΓΓΑ</w:t>
      </w:r>
    </w:p>
    <w:p w:rsidR="00FC15AE" w:rsidRPr="004A1E02" w:rsidRDefault="00FC15AE" w:rsidP="00FC15AE">
      <w:pPr>
        <w:pStyle w:val="aff0"/>
        <w:jc w:val="both"/>
        <w:rPr>
          <w:rFonts w:ascii="Arial" w:hAnsi="Arial" w:cs="Arial"/>
          <w:i/>
        </w:rPr>
      </w:pPr>
      <w:r w:rsidRPr="004A1E02">
        <w:rPr>
          <w:rFonts w:ascii="Arial" w:hAnsi="Arial" w:cs="Arial"/>
          <w:i/>
        </w:rPr>
        <w:t xml:space="preserve">Στη τιμή περιλαμβάνονται η προμήθεια και η μεταφορά στον τόπο του έργου όλων των υλικών και μηχανημάτων η εργασία πλήρους και έντεχνης κατασκευής σύμφωνα με τις προδιαγραφές των υλικών την Π.Τ.Π. της ΓΓΑ και την τεχνική περιγραφή της μελέτης και σύμφωνα με την παράγραφο 6.12 της ΠΤΠ </w:t>
      </w:r>
    </w:p>
    <w:p w:rsidR="00FC15AE" w:rsidRPr="004A1E02" w:rsidRDefault="00FC15AE" w:rsidP="00FC15AE">
      <w:pPr>
        <w:pStyle w:val="aff0"/>
        <w:jc w:val="both"/>
        <w:rPr>
          <w:rFonts w:ascii="Arial" w:hAnsi="Arial" w:cs="Arial"/>
          <w:i/>
        </w:rPr>
      </w:pPr>
      <w:r w:rsidRPr="004A1E02">
        <w:rPr>
          <w:rFonts w:ascii="Arial" w:hAnsi="Arial" w:cs="Arial"/>
          <w:i/>
        </w:rPr>
        <w:lastRenderedPageBreak/>
        <w:t xml:space="preserve">και τους διεθνείς κανονισμούς για τους συνθετικούς τάπητες .συμπεριλαμβάνεται η απόξεση της κατεστραμμένης επιφάνειας και εφαρμογής της επιφανειακής στρώσης κατά τα ανωτέρω, υλικά και κατασκευή   .                    </w:t>
      </w:r>
    </w:p>
    <w:p w:rsidR="00FC15AE" w:rsidRPr="004A1E02" w:rsidRDefault="00FC15AE" w:rsidP="00FC15AE">
      <w:pPr>
        <w:pStyle w:val="aff0"/>
        <w:jc w:val="both"/>
        <w:rPr>
          <w:rFonts w:ascii="Arial" w:hAnsi="Arial" w:cs="Arial"/>
          <w:i/>
        </w:rPr>
      </w:pPr>
      <w:r w:rsidRPr="004A1E02">
        <w:rPr>
          <w:rFonts w:ascii="Arial" w:hAnsi="Arial" w:cs="Arial"/>
          <w:i/>
        </w:rPr>
        <w:t xml:space="preserve">Τιμή ανά τετραγωνικό  μέτρο (μ²).   </w:t>
      </w:r>
    </w:p>
    <w:p w:rsidR="00FC15AE" w:rsidRPr="004A1E02" w:rsidRDefault="00FC15AE" w:rsidP="00FC15AE">
      <w:pPr>
        <w:pStyle w:val="aff0"/>
        <w:jc w:val="both"/>
        <w:rPr>
          <w:rFonts w:ascii="Arial" w:hAnsi="Arial" w:cs="Arial"/>
          <w:i/>
        </w:rPr>
      </w:pP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 xml:space="preserve">ΕΥΡΩ    (Ολογράφως) : .Τριάντα οκτώ   Ευρώ </w:t>
      </w: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 xml:space="preserve">              (Αριθμητικά) :38,00€</w:t>
      </w:r>
    </w:p>
    <w:p w:rsidR="00FC15AE" w:rsidRPr="004A1E02" w:rsidRDefault="00FC15AE" w:rsidP="00FC15AE">
      <w:pPr>
        <w:spacing w:line="360" w:lineRule="auto"/>
        <w:jc w:val="both"/>
        <w:rPr>
          <w:rFonts w:ascii="Arial" w:hAnsi="Arial" w:cs="Arial"/>
          <w:i/>
          <w:sz w:val="22"/>
          <w:szCs w:val="22"/>
        </w:rPr>
      </w:pPr>
    </w:p>
    <w:p w:rsidR="00FC15AE" w:rsidRPr="004A1E02" w:rsidRDefault="00FC15AE" w:rsidP="00FC15AE">
      <w:pPr>
        <w:pStyle w:val="aff0"/>
        <w:jc w:val="both"/>
        <w:rPr>
          <w:rFonts w:ascii="Arial" w:hAnsi="Arial" w:cs="Arial"/>
          <w:b/>
          <w:i/>
        </w:rPr>
      </w:pPr>
      <w:r w:rsidRPr="004A1E02">
        <w:rPr>
          <w:rFonts w:ascii="Arial" w:hAnsi="Arial" w:cs="Arial"/>
          <w:b/>
          <w:i/>
        </w:rPr>
        <w:t>Α.Τ.:  N.T.2</w:t>
      </w:r>
    </w:p>
    <w:p w:rsidR="00FC15AE" w:rsidRPr="004A1E02" w:rsidRDefault="00FC15AE" w:rsidP="00FC15AE">
      <w:pPr>
        <w:pStyle w:val="aff0"/>
        <w:ind w:left="360"/>
        <w:jc w:val="both"/>
        <w:rPr>
          <w:rFonts w:ascii="Arial" w:hAnsi="Arial" w:cs="Arial"/>
          <w:i/>
        </w:rPr>
      </w:pPr>
      <w:r w:rsidRPr="004A1E02">
        <w:rPr>
          <w:rFonts w:ascii="Arial" w:hAnsi="Arial" w:cs="Arial"/>
          <w:i/>
        </w:rPr>
        <w:t xml:space="preserve">ΝΑΟΙΚ 22.15.02  Καθαίρεση συνήθων κατασκευών, όπως τμημάτων πλακών, τοιχωμάτων, προβόλων κλπ ή διανοίξεις οπών σε αυτά, με εφαρμογή τεχνικών </w:t>
      </w:r>
      <w:proofErr w:type="spellStart"/>
      <w:r w:rsidRPr="004A1E02">
        <w:rPr>
          <w:rFonts w:ascii="Arial" w:hAnsi="Arial" w:cs="Arial"/>
          <w:i/>
        </w:rPr>
        <w:t>μή</w:t>
      </w:r>
      <w:proofErr w:type="spellEnd"/>
      <w:r w:rsidRPr="004A1E02">
        <w:rPr>
          <w:rFonts w:ascii="Arial" w:hAnsi="Arial" w:cs="Arial"/>
          <w:i/>
        </w:rPr>
        <w:t xml:space="preserve"> διαταραγμένης κοπής</w:t>
      </w:r>
      <w:r w:rsidRPr="004A1E02">
        <w:rPr>
          <w:rFonts w:ascii="Arial" w:hAnsi="Arial" w:cs="Arial"/>
          <w:i/>
        </w:rPr>
        <w:tab/>
      </w:r>
      <w:r w:rsidRPr="004A1E02">
        <w:rPr>
          <w:rFonts w:ascii="Arial" w:hAnsi="Arial" w:cs="Arial"/>
          <w:i/>
        </w:rPr>
        <w:tab/>
      </w:r>
    </w:p>
    <w:p w:rsidR="00FC15AE" w:rsidRPr="004A1E02" w:rsidRDefault="00FC15AE" w:rsidP="00FC15AE">
      <w:pPr>
        <w:pStyle w:val="aff0"/>
        <w:ind w:left="720"/>
        <w:jc w:val="both"/>
        <w:rPr>
          <w:rFonts w:ascii="Arial" w:hAnsi="Arial" w:cs="Arial"/>
          <w:i/>
        </w:rPr>
      </w:pPr>
      <w:r w:rsidRPr="004A1E02">
        <w:rPr>
          <w:rFonts w:ascii="Arial" w:hAnsi="Arial" w:cs="Arial"/>
          <w:i/>
        </w:rPr>
        <w:t xml:space="preserve"> (Κωδικός Αναθεώρησης   ΟΙΚ 2226)                     </w:t>
      </w:r>
    </w:p>
    <w:p w:rsidR="00FC15AE" w:rsidRPr="004A1E02" w:rsidRDefault="00FC15AE" w:rsidP="00FC15AE">
      <w:pPr>
        <w:pStyle w:val="aff0"/>
        <w:jc w:val="both"/>
        <w:rPr>
          <w:rFonts w:ascii="Arial" w:hAnsi="Arial" w:cs="Arial"/>
          <w:i/>
        </w:rPr>
      </w:pPr>
      <w:r w:rsidRPr="004A1E02">
        <w:rPr>
          <w:rFonts w:ascii="Arial" w:hAnsi="Arial" w:cs="Arial"/>
          <w:i/>
        </w:rPr>
        <w:t xml:space="preserve">                            </w:t>
      </w:r>
    </w:p>
    <w:p w:rsidR="00FC15AE" w:rsidRPr="004A1E02" w:rsidRDefault="00FC15AE" w:rsidP="00FC15AE">
      <w:pPr>
        <w:pStyle w:val="20"/>
        <w:tabs>
          <w:tab w:val="left" w:pos="1060"/>
          <w:tab w:val="left" w:pos="1701"/>
        </w:tabs>
        <w:spacing w:line="240" w:lineRule="auto"/>
        <w:rPr>
          <w:rFonts w:ascii="Arial" w:hAnsi="Arial" w:cs="Arial"/>
          <w:i/>
          <w:sz w:val="22"/>
          <w:szCs w:val="22"/>
          <w:lang w:eastAsia="zh-CN"/>
        </w:rPr>
      </w:pPr>
      <w:r w:rsidRPr="004A1E02">
        <w:rPr>
          <w:rFonts w:ascii="Arial" w:hAnsi="Arial" w:cs="Arial"/>
          <w:i/>
          <w:sz w:val="22"/>
          <w:szCs w:val="22"/>
          <w:lang w:eastAsia="zh-CN"/>
        </w:rPr>
        <w:t xml:space="preserve">Καθαίρεση και τεμαχισμός μεμονωμένων στοιχείων κατασκευών από οπλισμένο σκυρόδεμα, </w:t>
      </w:r>
      <w:proofErr w:type="spellStart"/>
      <w:r w:rsidRPr="004A1E02">
        <w:rPr>
          <w:rFonts w:ascii="Arial" w:hAnsi="Arial" w:cs="Arial"/>
          <w:i/>
          <w:sz w:val="22"/>
          <w:szCs w:val="22"/>
          <w:lang w:eastAsia="zh-CN"/>
        </w:rPr>
        <w:t>πλήν</w:t>
      </w:r>
      <w:proofErr w:type="spellEnd"/>
      <w:r w:rsidRPr="004A1E02">
        <w:rPr>
          <w:rFonts w:ascii="Arial" w:hAnsi="Arial" w:cs="Arial"/>
          <w:i/>
          <w:sz w:val="22"/>
          <w:szCs w:val="22"/>
          <w:lang w:eastAsia="zh-CN"/>
        </w:rPr>
        <w:t xml:space="preserve"> δαπέδων. </w:t>
      </w:r>
    </w:p>
    <w:p w:rsidR="00FC15AE" w:rsidRPr="004A1E02" w:rsidRDefault="00FC15AE" w:rsidP="00FC15AE">
      <w:pPr>
        <w:pStyle w:val="20"/>
        <w:tabs>
          <w:tab w:val="left" w:pos="1060"/>
          <w:tab w:val="left" w:pos="1701"/>
        </w:tabs>
        <w:spacing w:line="240" w:lineRule="auto"/>
        <w:rPr>
          <w:rFonts w:ascii="Arial" w:hAnsi="Arial" w:cs="Arial"/>
          <w:i/>
          <w:sz w:val="22"/>
          <w:szCs w:val="22"/>
          <w:lang w:eastAsia="zh-CN"/>
        </w:rPr>
      </w:pPr>
      <w:r w:rsidRPr="004A1E02">
        <w:rPr>
          <w:rFonts w:ascii="Arial" w:hAnsi="Arial" w:cs="Arial"/>
          <w:i/>
          <w:sz w:val="22"/>
          <w:szCs w:val="22"/>
          <w:lang w:eastAsia="zh-CN"/>
        </w:rPr>
        <w:t xml:space="preserve">Συμπεριλαμβάνονται οι δαπάνες του πάσης φύσεως απαιτούμενου εξοπλισμού και εργαλείων, των ικριωμάτων και προσωρινών αντιστηρίξεων και η συσσώρευση των προϊόντων ο τεμαχισμός των </w:t>
      </w:r>
      <w:proofErr w:type="spellStart"/>
      <w:r w:rsidRPr="004A1E02">
        <w:rPr>
          <w:rFonts w:ascii="Arial" w:hAnsi="Arial" w:cs="Arial"/>
          <w:i/>
          <w:sz w:val="22"/>
          <w:szCs w:val="22"/>
          <w:lang w:eastAsia="zh-CN"/>
        </w:rPr>
        <w:t>ευμεγέθων</w:t>
      </w:r>
      <w:proofErr w:type="spellEnd"/>
      <w:r w:rsidRPr="004A1E02">
        <w:rPr>
          <w:rFonts w:ascii="Arial" w:hAnsi="Arial" w:cs="Arial"/>
          <w:i/>
          <w:sz w:val="22"/>
          <w:szCs w:val="22"/>
          <w:lang w:eastAsia="zh-CN"/>
        </w:rPr>
        <w:t xml:space="preserve"> στοιχείων σκυροδέματος και η μεταφορά τους στις θέσεις φόρτωσης,, σύμφωνα με την μελέτη και την ΕΤΕΠ 15-02-01-01 "Καθαιρέσεις στοιχείων οπλισμένου σκυροδέματος με μηχανικά μέσα".</w:t>
      </w:r>
    </w:p>
    <w:p w:rsidR="00FC15AE" w:rsidRPr="004A1E02" w:rsidRDefault="00FC15AE" w:rsidP="00FC15AE">
      <w:pPr>
        <w:pStyle w:val="af2"/>
        <w:tabs>
          <w:tab w:val="left" w:pos="2268"/>
        </w:tabs>
        <w:ind w:firstLine="1134"/>
        <w:rPr>
          <w:rFonts w:ascii="Arial" w:hAnsi="Arial" w:cs="Arial"/>
          <w:i/>
          <w:sz w:val="22"/>
          <w:szCs w:val="22"/>
        </w:rPr>
      </w:pPr>
      <w:r w:rsidRPr="004A1E02">
        <w:rPr>
          <w:rFonts w:ascii="Arial" w:hAnsi="Arial" w:cs="Arial"/>
          <w:i/>
          <w:sz w:val="22"/>
          <w:szCs w:val="22"/>
        </w:rPr>
        <w:t xml:space="preserve">Τιμή ανά μέτρο μήκους(m) και ανά </w:t>
      </w:r>
      <w:proofErr w:type="spellStart"/>
      <w:r w:rsidRPr="004A1E02">
        <w:rPr>
          <w:rFonts w:ascii="Arial" w:hAnsi="Arial" w:cs="Arial"/>
          <w:i/>
          <w:sz w:val="22"/>
          <w:szCs w:val="22"/>
        </w:rPr>
        <w:t>εκατoστό</w:t>
      </w:r>
      <w:proofErr w:type="spellEnd"/>
      <w:r w:rsidRPr="004A1E02">
        <w:rPr>
          <w:rFonts w:ascii="Arial" w:hAnsi="Arial" w:cs="Arial"/>
          <w:i/>
          <w:sz w:val="22"/>
          <w:szCs w:val="22"/>
        </w:rPr>
        <w:t xml:space="preserve"> (cm) βάθους κοπής.</w:t>
      </w:r>
    </w:p>
    <w:p w:rsidR="00FC15AE" w:rsidRPr="004A1E02" w:rsidRDefault="00FC15AE" w:rsidP="00FC15AE">
      <w:pPr>
        <w:pStyle w:val="aff0"/>
        <w:jc w:val="both"/>
        <w:rPr>
          <w:rFonts w:ascii="Arial" w:hAnsi="Arial" w:cs="Arial"/>
          <w:i/>
        </w:rPr>
      </w:pPr>
      <w:r w:rsidRPr="004A1E02">
        <w:rPr>
          <w:rFonts w:ascii="Arial" w:hAnsi="Arial" w:cs="Arial"/>
          <w:i/>
        </w:rPr>
        <w:t xml:space="preserve">.  </w:t>
      </w: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ΕΥΡΩ    (Ολογράφως) : δέκα έξι και ενενήντα  λεπτά</w:t>
      </w: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 xml:space="preserve">              (Αριθμητικά) : 16,90€</w:t>
      </w:r>
    </w:p>
    <w:p w:rsidR="00FC15AE" w:rsidRPr="004A1E02" w:rsidRDefault="00FC15AE" w:rsidP="00FC15AE">
      <w:pPr>
        <w:pStyle w:val="1"/>
        <w:numPr>
          <w:ilvl w:val="0"/>
          <w:numId w:val="0"/>
        </w:numPr>
        <w:tabs>
          <w:tab w:val="left" w:pos="-4820"/>
        </w:tabs>
        <w:ind w:left="432" w:hanging="432"/>
        <w:rPr>
          <w:rFonts w:ascii="Arial" w:hAnsi="Arial" w:cs="Arial"/>
          <w:i/>
          <w:sz w:val="22"/>
          <w:szCs w:val="22"/>
        </w:rPr>
      </w:pPr>
      <w:r w:rsidRPr="004A1E02">
        <w:rPr>
          <w:rFonts w:ascii="Arial" w:hAnsi="Arial" w:cs="Arial"/>
          <w:i/>
          <w:sz w:val="22"/>
          <w:szCs w:val="22"/>
        </w:rPr>
        <w:t xml:space="preserve">Α.Τ.:  N.T.3 </w:t>
      </w:r>
    </w:p>
    <w:p w:rsidR="00FC15AE" w:rsidRPr="004A1E02" w:rsidRDefault="00FC15AE" w:rsidP="00FC15AE">
      <w:pPr>
        <w:pStyle w:val="1"/>
        <w:tabs>
          <w:tab w:val="left" w:pos="-4820"/>
        </w:tabs>
        <w:spacing w:after="200" w:line="276" w:lineRule="auto"/>
        <w:ind w:left="1134" w:hanging="1134"/>
        <w:jc w:val="center"/>
        <w:rPr>
          <w:rFonts w:ascii="Arial" w:hAnsi="Arial" w:cs="Arial"/>
          <w:b/>
          <w:i/>
          <w:sz w:val="22"/>
          <w:szCs w:val="22"/>
        </w:rPr>
      </w:pPr>
      <w:r w:rsidRPr="004A1E02">
        <w:rPr>
          <w:rFonts w:ascii="Arial" w:hAnsi="Arial" w:cs="Arial"/>
          <w:b/>
          <w:i/>
          <w:sz w:val="22"/>
          <w:szCs w:val="22"/>
        </w:rPr>
        <w:t xml:space="preserve">ΝΑΟΙΚ 46.01.05    Οπτοπλινθοδομές με </w:t>
      </w:r>
      <w:proofErr w:type="spellStart"/>
      <w:r w:rsidRPr="004A1E02">
        <w:rPr>
          <w:rFonts w:ascii="Arial" w:hAnsi="Arial" w:cs="Arial"/>
          <w:b/>
          <w:i/>
          <w:sz w:val="22"/>
          <w:szCs w:val="22"/>
        </w:rPr>
        <w:t>διακένους</w:t>
      </w:r>
      <w:proofErr w:type="spellEnd"/>
      <w:r w:rsidRPr="004A1E02">
        <w:rPr>
          <w:rFonts w:ascii="Arial" w:hAnsi="Arial" w:cs="Arial"/>
          <w:b/>
          <w:i/>
          <w:sz w:val="22"/>
          <w:szCs w:val="22"/>
        </w:rPr>
        <w:t xml:space="preserve"> τυποποιημένους </w:t>
      </w:r>
      <w:proofErr w:type="spellStart"/>
      <w:r w:rsidRPr="004A1E02">
        <w:rPr>
          <w:rFonts w:ascii="Arial" w:hAnsi="Arial" w:cs="Arial"/>
          <w:b/>
          <w:i/>
          <w:sz w:val="22"/>
          <w:szCs w:val="22"/>
        </w:rPr>
        <w:t>οπτοπλίνθους</w:t>
      </w:r>
      <w:proofErr w:type="spellEnd"/>
      <w:r w:rsidRPr="004A1E02">
        <w:rPr>
          <w:rFonts w:ascii="Arial" w:hAnsi="Arial" w:cs="Arial"/>
          <w:b/>
          <w:i/>
          <w:sz w:val="22"/>
          <w:szCs w:val="22"/>
        </w:rPr>
        <w:t xml:space="preserve"> 6x9x19 cm    2 πλίνθων </w:t>
      </w:r>
    </w:p>
    <w:p w:rsidR="00FC15AE" w:rsidRPr="004A1E02" w:rsidRDefault="00FC15AE" w:rsidP="00FC15AE">
      <w:pPr>
        <w:pStyle w:val="aff0"/>
        <w:jc w:val="both"/>
        <w:rPr>
          <w:rFonts w:ascii="Arial" w:hAnsi="Arial" w:cs="Arial"/>
          <w:i/>
        </w:rPr>
      </w:pPr>
      <w:r w:rsidRPr="004A1E02">
        <w:rPr>
          <w:rFonts w:ascii="Arial" w:hAnsi="Arial" w:cs="Arial"/>
          <w:i/>
        </w:rPr>
        <w:t xml:space="preserve">(Κωδικός Αναθεώρησης   OIK 4625)                     </w:t>
      </w:r>
    </w:p>
    <w:p w:rsidR="00FC15AE" w:rsidRPr="004A1E02" w:rsidRDefault="00FC15AE" w:rsidP="00FC15AE">
      <w:pPr>
        <w:pStyle w:val="aff0"/>
        <w:jc w:val="both"/>
        <w:rPr>
          <w:rFonts w:ascii="Arial" w:hAnsi="Arial" w:cs="Arial"/>
          <w:i/>
        </w:rPr>
      </w:pPr>
      <w:r w:rsidRPr="004A1E02">
        <w:rPr>
          <w:rFonts w:ascii="Arial" w:hAnsi="Arial" w:cs="Arial"/>
          <w:i/>
        </w:rPr>
        <w:t xml:space="preserve">                               </w:t>
      </w:r>
    </w:p>
    <w:p w:rsidR="00FC15AE" w:rsidRPr="004A1E02" w:rsidRDefault="00FC15AE" w:rsidP="00FC15AE">
      <w:pPr>
        <w:widowControl w:val="0"/>
        <w:tabs>
          <w:tab w:val="left" w:pos="135"/>
        </w:tabs>
        <w:jc w:val="both"/>
        <w:rPr>
          <w:rFonts w:ascii="Arial" w:hAnsi="Arial" w:cs="Arial"/>
          <w:i/>
          <w:sz w:val="22"/>
          <w:szCs w:val="22"/>
        </w:rPr>
      </w:pPr>
      <w:r w:rsidRPr="004A1E02">
        <w:rPr>
          <w:rFonts w:ascii="Arial" w:hAnsi="Arial" w:cs="Arial"/>
          <w:i/>
          <w:sz w:val="22"/>
          <w:szCs w:val="22"/>
        </w:rPr>
        <w:t xml:space="preserve">Πλινθοδομές με </w:t>
      </w:r>
      <w:proofErr w:type="spellStart"/>
      <w:r w:rsidRPr="004A1E02">
        <w:rPr>
          <w:rFonts w:ascii="Arial" w:hAnsi="Arial" w:cs="Arial"/>
          <w:i/>
          <w:sz w:val="22"/>
          <w:szCs w:val="22"/>
        </w:rPr>
        <w:t>διάκενους</w:t>
      </w:r>
      <w:proofErr w:type="spellEnd"/>
      <w:r w:rsidRPr="004A1E02">
        <w:rPr>
          <w:rFonts w:ascii="Arial" w:hAnsi="Arial" w:cs="Arial"/>
          <w:i/>
          <w:sz w:val="22"/>
          <w:szCs w:val="22"/>
        </w:rPr>
        <w:t xml:space="preserve"> τυποποιημένους οπτόπλινθους διαστάσεων 6x9x19 cm, σύμφωνα με την μελέτη και την ΕΤΕΠ 03-02-02-00 "Τοίχοι από οπτόπλινθους", σε οποιαδήποτε θέση και στάθμη του έργου, με έτοιμο κονίαμα κτισίματος παραδιδόμενο σε σιλό ή με </w:t>
      </w:r>
      <w:proofErr w:type="spellStart"/>
      <w:r w:rsidRPr="004A1E02">
        <w:rPr>
          <w:rFonts w:ascii="Arial" w:hAnsi="Arial" w:cs="Arial"/>
          <w:i/>
          <w:sz w:val="22"/>
          <w:szCs w:val="22"/>
        </w:rPr>
        <w:t>ασβεστοτσιμεντοκονίαμα</w:t>
      </w:r>
      <w:proofErr w:type="spellEnd"/>
      <w:r w:rsidRPr="004A1E02">
        <w:rPr>
          <w:rFonts w:ascii="Arial" w:hAnsi="Arial" w:cs="Arial"/>
          <w:i/>
          <w:sz w:val="22"/>
          <w:szCs w:val="22"/>
        </w:rPr>
        <w:t xml:space="preserve"> που παρασκευάζεται επί τόπου, </w:t>
      </w:r>
    </w:p>
    <w:p w:rsidR="00FC15AE" w:rsidRPr="004A1E02" w:rsidRDefault="00FC15AE" w:rsidP="00FC15AE">
      <w:pPr>
        <w:tabs>
          <w:tab w:val="left" w:pos="-4820"/>
          <w:tab w:val="left" w:pos="9356"/>
          <w:tab w:val="left" w:pos="10360"/>
        </w:tabs>
        <w:ind w:left="2268" w:right="-1050" w:hanging="1134"/>
        <w:jc w:val="both"/>
        <w:rPr>
          <w:rFonts w:ascii="Arial" w:hAnsi="Arial" w:cs="Arial"/>
          <w:i/>
          <w:sz w:val="22"/>
          <w:szCs w:val="22"/>
        </w:rPr>
      </w:pPr>
      <w:r w:rsidRPr="004A1E02">
        <w:rPr>
          <w:rFonts w:ascii="Arial" w:hAnsi="Arial" w:cs="Arial"/>
          <w:i/>
          <w:sz w:val="22"/>
          <w:szCs w:val="22"/>
        </w:rPr>
        <w:t>Τιμή ανά τετραγωνικό μέτρο (</w:t>
      </w:r>
      <w:proofErr w:type="spellStart"/>
      <w:r w:rsidRPr="004A1E02">
        <w:rPr>
          <w:rFonts w:ascii="Arial" w:hAnsi="Arial" w:cs="Arial"/>
          <w:i/>
          <w:sz w:val="22"/>
          <w:szCs w:val="22"/>
        </w:rPr>
        <w:t>m2</w:t>
      </w:r>
      <w:proofErr w:type="spellEnd"/>
      <w:r w:rsidRPr="004A1E02">
        <w:rPr>
          <w:rFonts w:ascii="Arial" w:hAnsi="Arial" w:cs="Arial"/>
          <w:i/>
          <w:sz w:val="22"/>
          <w:szCs w:val="22"/>
        </w:rPr>
        <w:t xml:space="preserve">) πραγματικής επιφάνειας. </w:t>
      </w: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ΕΥΡΩ    (Ολογράφως) : .εξήντα  ένα Ευρώ</w:t>
      </w: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 xml:space="preserve">              (Αριθμητικά) :61,00€</w:t>
      </w:r>
      <w:bookmarkStart w:id="0" w:name="_GoBack"/>
      <w:bookmarkEnd w:id="0"/>
    </w:p>
    <w:p w:rsidR="00FC15AE" w:rsidRPr="004A1E02" w:rsidRDefault="00FC15AE" w:rsidP="00FC15AE">
      <w:pPr>
        <w:pStyle w:val="aff0"/>
        <w:jc w:val="both"/>
        <w:rPr>
          <w:rFonts w:ascii="Arial" w:hAnsi="Arial" w:cs="Arial"/>
          <w:b/>
          <w:i/>
        </w:rPr>
      </w:pPr>
      <w:r w:rsidRPr="004A1E02">
        <w:rPr>
          <w:rFonts w:ascii="Arial" w:hAnsi="Arial" w:cs="Arial"/>
          <w:b/>
          <w:i/>
        </w:rPr>
        <w:t xml:space="preserve">Α.Τ.:  N.T.4 </w:t>
      </w:r>
    </w:p>
    <w:p w:rsidR="00FC15AE" w:rsidRPr="004A1E02" w:rsidRDefault="00FC15AE" w:rsidP="00FC15AE">
      <w:pPr>
        <w:pStyle w:val="aff0"/>
        <w:ind w:left="720"/>
        <w:jc w:val="both"/>
        <w:rPr>
          <w:rFonts w:ascii="Arial" w:hAnsi="Arial" w:cs="Arial"/>
          <w:i/>
        </w:rPr>
      </w:pPr>
      <w:r w:rsidRPr="004A1E02">
        <w:rPr>
          <w:rFonts w:ascii="Arial" w:hAnsi="Arial" w:cs="Arial"/>
          <w:i/>
        </w:rPr>
        <w:t xml:space="preserve">ΝΑΟΙΚ 71.22 1   </w:t>
      </w:r>
      <w:r w:rsidRPr="004A1E02">
        <w:rPr>
          <w:rFonts w:ascii="Arial" w:hAnsi="Arial" w:cs="Arial"/>
          <w:i/>
        </w:rPr>
        <w:tab/>
        <w:t xml:space="preserve">Επιχρίσματα </w:t>
      </w:r>
      <w:proofErr w:type="spellStart"/>
      <w:r w:rsidRPr="004A1E02">
        <w:rPr>
          <w:rFonts w:ascii="Arial" w:hAnsi="Arial" w:cs="Arial"/>
          <w:i/>
        </w:rPr>
        <w:t>τριπτά</w:t>
      </w:r>
      <w:proofErr w:type="spellEnd"/>
      <w:r w:rsidRPr="004A1E02">
        <w:rPr>
          <w:rFonts w:ascii="Arial" w:hAnsi="Arial" w:cs="Arial"/>
          <w:i/>
        </w:rPr>
        <w:t xml:space="preserve"> ή πατητά με τσιμεντοκονίαμα</w:t>
      </w:r>
    </w:p>
    <w:p w:rsidR="00FC15AE" w:rsidRPr="004A1E02" w:rsidRDefault="00FC15AE" w:rsidP="00FC15AE">
      <w:pPr>
        <w:tabs>
          <w:tab w:val="left" w:pos="9052"/>
          <w:tab w:val="left" w:pos="10360"/>
        </w:tabs>
        <w:ind w:left="1134"/>
        <w:jc w:val="both"/>
        <w:rPr>
          <w:rFonts w:ascii="Arial" w:hAnsi="Arial" w:cs="Arial"/>
          <w:i/>
          <w:sz w:val="22"/>
          <w:szCs w:val="22"/>
        </w:rPr>
      </w:pPr>
      <w:r w:rsidRPr="004A1E02">
        <w:rPr>
          <w:rFonts w:ascii="Arial" w:hAnsi="Arial" w:cs="Arial"/>
          <w:i/>
          <w:sz w:val="22"/>
          <w:szCs w:val="22"/>
        </w:rPr>
        <w:t xml:space="preserve">Κωδικός Αναθεώρησης ΟΙΚ 7122 </w:t>
      </w:r>
    </w:p>
    <w:p w:rsidR="00FC15AE" w:rsidRPr="004A1E02" w:rsidRDefault="00FC15AE" w:rsidP="00FC15AE">
      <w:pPr>
        <w:tabs>
          <w:tab w:val="left" w:pos="1080"/>
        </w:tabs>
        <w:jc w:val="both"/>
        <w:rPr>
          <w:rFonts w:ascii="Arial" w:hAnsi="Arial" w:cs="Arial"/>
          <w:i/>
          <w:sz w:val="22"/>
          <w:szCs w:val="22"/>
        </w:rPr>
      </w:pPr>
      <w:r w:rsidRPr="004A1E02">
        <w:rPr>
          <w:rFonts w:ascii="Arial" w:hAnsi="Arial" w:cs="Arial"/>
          <w:i/>
          <w:sz w:val="22"/>
          <w:szCs w:val="22"/>
        </w:rPr>
        <w:t xml:space="preserve">Επιχρίσματα </w:t>
      </w:r>
      <w:proofErr w:type="spellStart"/>
      <w:r w:rsidRPr="004A1E02">
        <w:rPr>
          <w:rFonts w:ascii="Arial" w:hAnsi="Arial" w:cs="Arial"/>
          <w:i/>
          <w:sz w:val="22"/>
          <w:szCs w:val="22"/>
        </w:rPr>
        <w:t>τριπτά</w:t>
      </w:r>
      <w:proofErr w:type="spellEnd"/>
      <w:r w:rsidRPr="004A1E02">
        <w:rPr>
          <w:rFonts w:ascii="Arial" w:hAnsi="Arial" w:cs="Arial"/>
          <w:i/>
          <w:sz w:val="22"/>
          <w:szCs w:val="22"/>
        </w:rPr>
        <w:t xml:space="preserve"> ή πατητά με τσιμεντοκονίαμα των 600 </w:t>
      </w:r>
      <w:proofErr w:type="spellStart"/>
      <w:r w:rsidRPr="004A1E02">
        <w:rPr>
          <w:rFonts w:ascii="Arial" w:hAnsi="Arial" w:cs="Arial"/>
          <w:i/>
          <w:sz w:val="22"/>
          <w:szCs w:val="22"/>
        </w:rPr>
        <w:t>kg</w:t>
      </w:r>
      <w:proofErr w:type="spellEnd"/>
      <w:r w:rsidRPr="004A1E02">
        <w:rPr>
          <w:rFonts w:ascii="Arial" w:hAnsi="Arial" w:cs="Arial"/>
          <w:i/>
          <w:sz w:val="22"/>
          <w:szCs w:val="22"/>
        </w:rPr>
        <w:t xml:space="preserve"> τσιμέντου, πάχους 2,5 cm, εις τρείς στρώσεις, επί τοίχων ή οροφών, σε οποιασδήποτε στάθμη έδαφος, και σε ύψος μέχρι 4,00 m από το δάπεδο εργασίας, σύμφωνα με την μελέτη και την ΕΤΕΠ 03-03-01-00 "Επιχρίσματα με κονιάματα που παρασκευάζονται επί τόπου".</w:t>
      </w:r>
    </w:p>
    <w:p w:rsidR="00FC15AE" w:rsidRPr="004A1E02" w:rsidRDefault="00FC15AE" w:rsidP="00FC15AE">
      <w:pPr>
        <w:tabs>
          <w:tab w:val="left" w:pos="1080"/>
        </w:tabs>
        <w:jc w:val="both"/>
        <w:rPr>
          <w:rFonts w:ascii="Arial" w:hAnsi="Arial" w:cs="Arial"/>
          <w:i/>
          <w:sz w:val="22"/>
          <w:szCs w:val="22"/>
        </w:rPr>
      </w:pPr>
      <w:r w:rsidRPr="004A1E02">
        <w:rPr>
          <w:rFonts w:ascii="Arial" w:hAnsi="Arial" w:cs="Arial"/>
          <w:i/>
          <w:sz w:val="22"/>
          <w:szCs w:val="22"/>
        </w:rPr>
        <w:t>Πλήρως περαιωμένη εργασία, με τα υλικά επί τόπου και τον απαιτούμενο μηχανικό εξοπλισμό, ειδικά εργαλεία και ικριώματα εργασίας.</w:t>
      </w:r>
    </w:p>
    <w:p w:rsidR="00FC15AE" w:rsidRPr="004A1E02" w:rsidRDefault="00FC15AE" w:rsidP="00FC15AE">
      <w:pPr>
        <w:tabs>
          <w:tab w:val="left" w:pos="9052"/>
          <w:tab w:val="left" w:pos="10360"/>
        </w:tabs>
        <w:ind w:left="1134"/>
        <w:jc w:val="both"/>
        <w:rPr>
          <w:rFonts w:ascii="Arial" w:hAnsi="Arial" w:cs="Arial"/>
          <w:i/>
          <w:sz w:val="22"/>
          <w:szCs w:val="22"/>
        </w:rPr>
      </w:pPr>
      <w:r w:rsidRPr="004A1E02">
        <w:rPr>
          <w:rFonts w:ascii="Arial" w:hAnsi="Arial" w:cs="Arial"/>
          <w:i/>
          <w:sz w:val="22"/>
          <w:szCs w:val="22"/>
        </w:rPr>
        <w:t>Τιμή ανά τετραγωνικό μέτρο (</w:t>
      </w:r>
      <w:proofErr w:type="spellStart"/>
      <w:r w:rsidRPr="004A1E02">
        <w:rPr>
          <w:rFonts w:ascii="Arial" w:hAnsi="Arial" w:cs="Arial"/>
          <w:i/>
          <w:sz w:val="22"/>
          <w:szCs w:val="22"/>
        </w:rPr>
        <w:t>m2</w:t>
      </w:r>
      <w:proofErr w:type="spellEnd"/>
      <w:r w:rsidRPr="004A1E02">
        <w:rPr>
          <w:rFonts w:ascii="Arial" w:hAnsi="Arial" w:cs="Arial"/>
          <w:i/>
          <w:sz w:val="22"/>
          <w:szCs w:val="22"/>
        </w:rPr>
        <w:t>)</w:t>
      </w:r>
    </w:p>
    <w:p w:rsidR="00FC15AE" w:rsidRPr="004A1E02" w:rsidRDefault="00FC15AE" w:rsidP="00FC15AE">
      <w:pPr>
        <w:pStyle w:val="aff0"/>
        <w:ind w:left="2160" w:hanging="1800"/>
        <w:jc w:val="both"/>
        <w:rPr>
          <w:rFonts w:ascii="Arial" w:hAnsi="Arial" w:cs="Arial"/>
          <w:i/>
        </w:rPr>
      </w:pP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t>ΕΥΡΩ    (Ολογράφως) : Δέκα έξι  ευρώ και  ογδόντα  λεπτά.</w:t>
      </w:r>
    </w:p>
    <w:p w:rsidR="00FC15AE" w:rsidRPr="004A1E02" w:rsidRDefault="00FC15AE" w:rsidP="00FC15AE">
      <w:pPr>
        <w:spacing w:line="360" w:lineRule="auto"/>
        <w:jc w:val="both"/>
        <w:rPr>
          <w:rFonts w:ascii="Arial" w:hAnsi="Arial" w:cs="Arial"/>
          <w:i/>
          <w:sz w:val="22"/>
          <w:szCs w:val="22"/>
        </w:rPr>
      </w:pPr>
      <w:r w:rsidRPr="004A1E02">
        <w:rPr>
          <w:rFonts w:ascii="Arial" w:hAnsi="Arial" w:cs="Arial"/>
          <w:i/>
          <w:sz w:val="22"/>
          <w:szCs w:val="22"/>
        </w:rPr>
        <w:lastRenderedPageBreak/>
        <w:t xml:space="preserve">              (Αριθμητικά) : 16,80€</w:t>
      </w:r>
    </w:p>
    <w:p w:rsidR="00FC15AE" w:rsidRPr="004A1E02" w:rsidRDefault="00FC15AE" w:rsidP="00FC15AE">
      <w:pPr>
        <w:spacing w:line="360" w:lineRule="auto"/>
        <w:jc w:val="both"/>
        <w:rPr>
          <w:rFonts w:ascii="Arial" w:hAnsi="Arial" w:cs="Arial"/>
          <w:b/>
          <w:i/>
          <w:sz w:val="22"/>
          <w:szCs w:val="22"/>
        </w:rPr>
      </w:pPr>
      <w:r w:rsidRPr="004A1E02">
        <w:rPr>
          <w:rFonts w:ascii="Arial" w:hAnsi="Arial" w:cs="Arial"/>
          <w:b/>
          <w:i/>
          <w:sz w:val="22"/>
          <w:szCs w:val="22"/>
        </w:rPr>
        <w:t xml:space="preserve">Α.Τ. Ν.Τ. 5 </w:t>
      </w:r>
    </w:p>
    <w:p w:rsidR="00FC15AE" w:rsidRPr="004A1E02" w:rsidRDefault="00FC15AE" w:rsidP="00FC15AE">
      <w:pPr>
        <w:jc w:val="both"/>
        <w:rPr>
          <w:rFonts w:ascii="Arial" w:hAnsi="Arial" w:cs="Arial"/>
          <w:i/>
          <w:sz w:val="22"/>
          <w:szCs w:val="22"/>
        </w:rPr>
      </w:pPr>
      <w:r w:rsidRPr="004A1E02">
        <w:rPr>
          <w:rFonts w:ascii="Arial" w:hAnsi="Arial" w:cs="Arial"/>
          <w:i/>
          <w:sz w:val="22"/>
          <w:szCs w:val="22"/>
        </w:rPr>
        <w:t xml:space="preserve">ΝΑΟΙΚ 61.29 Μεταλλικός σκελετός ή δικτύωμα επιστέγασης </w:t>
      </w:r>
    </w:p>
    <w:p w:rsidR="00FC15AE" w:rsidRPr="004A1E02" w:rsidRDefault="00FC15AE" w:rsidP="00FC15AE">
      <w:pPr>
        <w:jc w:val="both"/>
        <w:rPr>
          <w:rFonts w:ascii="Arial" w:hAnsi="Arial" w:cs="Arial"/>
          <w:i/>
          <w:sz w:val="22"/>
          <w:szCs w:val="22"/>
        </w:rPr>
      </w:pPr>
      <w:r w:rsidRPr="004A1E02">
        <w:rPr>
          <w:rFonts w:ascii="Arial" w:hAnsi="Arial" w:cs="Arial"/>
          <w:i/>
          <w:sz w:val="22"/>
          <w:szCs w:val="22"/>
        </w:rPr>
        <w:t>Κωδικός Αναθεώρησης ΟΙΚ 6118</w:t>
      </w:r>
    </w:p>
    <w:p w:rsidR="00FC15AE" w:rsidRPr="004A1E02" w:rsidRDefault="00FC15AE" w:rsidP="00FC15AE">
      <w:pPr>
        <w:jc w:val="both"/>
        <w:rPr>
          <w:rFonts w:ascii="Arial" w:hAnsi="Arial" w:cs="Arial"/>
          <w:i/>
          <w:sz w:val="22"/>
          <w:szCs w:val="22"/>
        </w:rPr>
      </w:pPr>
      <w:r w:rsidRPr="004A1E02">
        <w:rPr>
          <w:rFonts w:ascii="Arial" w:hAnsi="Arial" w:cs="Arial"/>
          <w:i/>
          <w:sz w:val="22"/>
          <w:szCs w:val="22"/>
        </w:rPr>
        <w:t xml:space="preserve">Κατασκευή μεταλλικού σκελετού ή μεταλλικού δικτυώματος επιστέγασης, οποιουδήποτε ανοίγματος, σύμφωνα με τα κατασκευαστικά σχέδια, σε </w:t>
      </w:r>
      <w:proofErr w:type="spellStart"/>
      <w:r w:rsidRPr="004A1E02">
        <w:rPr>
          <w:rFonts w:ascii="Arial" w:hAnsi="Arial" w:cs="Arial"/>
          <w:i/>
          <w:sz w:val="22"/>
          <w:szCs w:val="22"/>
        </w:rPr>
        <w:t>υπαρχουσα</w:t>
      </w:r>
      <w:proofErr w:type="spellEnd"/>
      <w:r w:rsidRPr="004A1E02">
        <w:rPr>
          <w:rFonts w:ascii="Arial" w:hAnsi="Arial" w:cs="Arial"/>
          <w:i/>
          <w:sz w:val="22"/>
          <w:szCs w:val="22"/>
        </w:rPr>
        <w:t xml:space="preserve"> υποδομή, από απλές ή σύνθετες διατομές (προφίλ) από χάλυβα ποιότητας S235J, σε οποιοδήποτε ύψος από το δάπεδο εργασίας, με οποιονδήποτε τρόπο σύνδεσης, στήριξης, πάκτωσης κ.λπ., με ηλεκτροσυγκόλληση ή κοχλίωση, και γενικά πλήρως ολοκληρωμένη εργασία, συναρμολόγησης, ανύψωσης, στερέωσης και υλικά και </w:t>
      </w:r>
      <w:proofErr w:type="spellStart"/>
      <w:r w:rsidRPr="004A1E02">
        <w:rPr>
          <w:rFonts w:ascii="Arial" w:hAnsi="Arial" w:cs="Arial"/>
          <w:i/>
          <w:sz w:val="22"/>
          <w:szCs w:val="22"/>
        </w:rPr>
        <w:t>μικροϋλικά</w:t>
      </w:r>
      <w:proofErr w:type="spellEnd"/>
      <w:r w:rsidRPr="004A1E02">
        <w:rPr>
          <w:rFonts w:ascii="Arial" w:hAnsi="Arial" w:cs="Arial"/>
          <w:i/>
          <w:sz w:val="22"/>
          <w:szCs w:val="22"/>
        </w:rPr>
        <w:t xml:space="preserve"> όπως κοχλίες, πλάκες </w:t>
      </w:r>
      <w:proofErr w:type="spellStart"/>
      <w:r w:rsidRPr="004A1E02">
        <w:rPr>
          <w:rFonts w:ascii="Arial" w:hAnsi="Arial" w:cs="Arial"/>
          <w:i/>
          <w:sz w:val="22"/>
          <w:szCs w:val="22"/>
        </w:rPr>
        <w:t>εδράσεως</w:t>
      </w:r>
      <w:proofErr w:type="spellEnd"/>
      <w:r w:rsidRPr="004A1E02">
        <w:rPr>
          <w:rFonts w:ascii="Arial" w:hAnsi="Arial" w:cs="Arial"/>
          <w:i/>
          <w:sz w:val="22"/>
          <w:szCs w:val="22"/>
        </w:rPr>
        <w:t xml:space="preserve">, </w:t>
      </w:r>
      <w:proofErr w:type="spellStart"/>
      <w:r w:rsidRPr="004A1E02">
        <w:rPr>
          <w:rFonts w:ascii="Arial" w:hAnsi="Arial" w:cs="Arial"/>
          <w:i/>
          <w:sz w:val="22"/>
          <w:szCs w:val="22"/>
        </w:rPr>
        <w:t>κομβοελάσματα</w:t>
      </w:r>
      <w:proofErr w:type="spellEnd"/>
      <w:r w:rsidRPr="004A1E02">
        <w:rPr>
          <w:rFonts w:ascii="Arial" w:hAnsi="Arial" w:cs="Arial"/>
          <w:i/>
          <w:sz w:val="22"/>
          <w:szCs w:val="22"/>
        </w:rPr>
        <w:t xml:space="preserve"> κορυφής κ.λπ. </w:t>
      </w:r>
    </w:p>
    <w:p w:rsidR="00FC15AE" w:rsidRPr="004A1E02" w:rsidRDefault="00FC15AE" w:rsidP="00FC15AE">
      <w:pPr>
        <w:tabs>
          <w:tab w:val="left" w:pos="1134"/>
          <w:tab w:val="left" w:pos="1701"/>
          <w:tab w:val="left" w:pos="9052"/>
          <w:tab w:val="left" w:pos="10360"/>
        </w:tabs>
        <w:ind w:left="1134" w:hanging="1134"/>
        <w:jc w:val="both"/>
        <w:rPr>
          <w:rFonts w:ascii="Arial" w:hAnsi="Arial" w:cs="Arial"/>
          <w:i/>
          <w:sz w:val="22"/>
          <w:szCs w:val="22"/>
        </w:rPr>
      </w:pPr>
      <w:r w:rsidRPr="004A1E02">
        <w:rPr>
          <w:rFonts w:ascii="Arial" w:hAnsi="Arial" w:cs="Arial"/>
          <w:i/>
          <w:sz w:val="22"/>
          <w:szCs w:val="22"/>
        </w:rPr>
        <w:tab/>
        <w:t>Τιμή ανά χιλιόγραμμο (</w:t>
      </w:r>
      <w:proofErr w:type="spellStart"/>
      <w:r w:rsidRPr="004A1E02">
        <w:rPr>
          <w:rFonts w:ascii="Arial" w:hAnsi="Arial" w:cs="Arial"/>
          <w:i/>
          <w:sz w:val="22"/>
          <w:szCs w:val="22"/>
        </w:rPr>
        <w:t>kg</w:t>
      </w:r>
      <w:proofErr w:type="spellEnd"/>
      <w:r w:rsidRPr="004A1E02">
        <w:rPr>
          <w:rFonts w:ascii="Arial" w:hAnsi="Arial" w:cs="Arial"/>
          <w:i/>
          <w:sz w:val="22"/>
          <w:szCs w:val="22"/>
        </w:rPr>
        <w:t xml:space="preserve">) τοποθετημένου </w:t>
      </w:r>
      <w:proofErr w:type="spellStart"/>
      <w:r w:rsidRPr="004A1E02">
        <w:rPr>
          <w:rFonts w:ascii="Arial" w:hAnsi="Arial" w:cs="Arial"/>
          <w:i/>
          <w:sz w:val="22"/>
          <w:szCs w:val="22"/>
        </w:rPr>
        <w:t>μορφοσίδηρου</w:t>
      </w:r>
      <w:proofErr w:type="spellEnd"/>
      <w:r w:rsidRPr="004A1E02">
        <w:rPr>
          <w:rFonts w:ascii="Arial" w:hAnsi="Arial" w:cs="Arial"/>
          <w:i/>
          <w:sz w:val="22"/>
          <w:szCs w:val="22"/>
        </w:rPr>
        <w:t>.</w:t>
      </w:r>
    </w:p>
    <w:p w:rsidR="00FC15AE" w:rsidRPr="004A1E02" w:rsidRDefault="00FC15AE" w:rsidP="00FC15AE">
      <w:pPr>
        <w:tabs>
          <w:tab w:val="left" w:pos="1134"/>
          <w:tab w:val="left" w:pos="9052"/>
          <w:tab w:val="left" w:pos="10360"/>
        </w:tabs>
        <w:ind w:left="1134" w:hanging="1134"/>
        <w:jc w:val="both"/>
        <w:rPr>
          <w:rFonts w:ascii="Arial" w:hAnsi="Arial" w:cs="Arial"/>
          <w:i/>
          <w:sz w:val="22"/>
          <w:szCs w:val="22"/>
        </w:rPr>
      </w:pPr>
    </w:p>
    <w:p w:rsidR="00FC15AE" w:rsidRPr="004A1E02" w:rsidRDefault="00FC15AE" w:rsidP="00FC15AE">
      <w:pPr>
        <w:tabs>
          <w:tab w:val="left" w:pos="1134"/>
          <w:tab w:val="right" w:pos="2835"/>
          <w:tab w:val="left" w:pos="9052"/>
          <w:tab w:val="left" w:pos="10360"/>
        </w:tabs>
        <w:ind w:left="1134" w:hanging="1134"/>
        <w:jc w:val="both"/>
        <w:rPr>
          <w:rFonts w:ascii="Arial" w:hAnsi="Arial" w:cs="Arial"/>
          <w:i/>
          <w:sz w:val="22"/>
          <w:szCs w:val="22"/>
        </w:rPr>
      </w:pPr>
      <w:r w:rsidRPr="004A1E02">
        <w:rPr>
          <w:rFonts w:ascii="Arial" w:hAnsi="Arial" w:cs="Arial"/>
          <w:i/>
          <w:sz w:val="22"/>
          <w:szCs w:val="22"/>
        </w:rPr>
        <w:t xml:space="preserve">Ευρώ Ολογράφως: τρία  και σαράντα λεπτά </w:t>
      </w:r>
    </w:p>
    <w:p w:rsidR="00FC15AE" w:rsidRPr="004A1E02" w:rsidRDefault="00FC15AE" w:rsidP="00FC15AE">
      <w:pPr>
        <w:tabs>
          <w:tab w:val="left" w:pos="1134"/>
          <w:tab w:val="right" w:pos="2835"/>
          <w:tab w:val="left" w:pos="9052"/>
          <w:tab w:val="left" w:pos="10360"/>
        </w:tabs>
        <w:ind w:left="1134" w:hanging="1134"/>
        <w:jc w:val="both"/>
        <w:rPr>
          <w:rFonts w:ascii="Arial" w:hAnsi="Arial" w:cs="Arial"/>
          <w:i/>
          <w:sz w:val="22"/>
          <w:szCs w:val="22"/>
        </w:rPr>
      </w:pPr>
      <w:r w:rsidRPr="004A1E02">
        <w:rPr>
          <w:rFonts w:ascii="Arial" w:hAnsi="Arial" w:cs="Arial"/>
          <w:i/>
          <w:sz w:val="22"/>
          <w:szCs w:val="22"/>
        </w:rPr>
        <w:t>Αριθμητικά ΕΥΡΩ</w:t>
      </w:r>
      <w:r w:rsidRPr="004A1E02">
        <w:rPr>
          <w:rFonts w:ascii="Arial" w:hAnsi="Arial" w:cs="Arial"/>
          <w:i/>
          <w:sz w:val="22"/>
          <w:szCs w:val="22"/>
        </w:rPr>
        <w:tab/>
        <w:t xml:space="preserve">3,40 </w:t>
      </w:r>
    </w:p>
    <w:p w:rsidR="00FC15AE" w:rsidRPr="004A1E02" w:rsidRDefault="00FC15AE" w:rsidP="00FC15AE">
      <w:pPr>
        <w:spacing w:before="120"/>
        <w:ind w:firstLine="426"/>
        <w:jc w:val="both"/>
        <w:rPr>
          <w:rFonts w:ascii="Arial" w:hAnsi="Arial" w:cs="Arial"/>
          <w:i/>
          <w:sz w:val="22"/>
          <w:szCs w:val="22"/>
        </w:rPr>
      </w:pP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Ο 1ος Α.Π.Ε. συνολικής δαπάνης. 582.304,32€ με Φ.Π.Α. 24% είναι μειωτικός  της σύμβασης  και είναι συμβατός με τους περιορισμούς της εγκυκλίου 36 (</w:t>
      </w:r>
      <w:proofErr w:type="spellStart"/>
      <w:r w:rsidRPr="004A1E02">
        <w:rPr>
          <w:rFonts w:ascii="Arial" w:hAnsi="Arial" w:cs="Arial"/>
          <w:i/>
          <w:sz w:val="22"/>
          <w:szCs w:val="22"/>
        </w:rPr>
        <w:t>αρ.πρωτ</w:t>
      </w:r>
      <w:proofErr w:type="spellEnd"/>
      <w:r w:rsidRPr="004A1E02">
        <w:rPr>
          <w:rFonts w:ascii="Arial" w:hAnsi="Arial" w:cs="Arial"/>
          <w:i/>
          <w:sz w:val="22"/>
          <w:szCs w:val="22"/>
        </w:rPr>
        <w:t>. Δ17α/08/158/ΦΝ437/19-10-2005) Υ.ΠΕ.ΧΩ.Δ.Ε. και τα άρθρα 155,156 του Ν.4412/2016 , δηλαδή είναι μειωτικός  ως προς ως προς το εγκεκριμένο συμβατικό αντικείμενο  . Η δαπάνη των επιπλέον εργασιών καλύπτεται με απορρόφηση τμήματος των απροβλέπτων δαπανών .</w:t>
      </w:r>
    </w:p>
    <w:p w:rsidR="00FC15AE" w:rsidRPr="004A1E02" w:rsidRDefault="00FC15AE" w:rsidP="00FC15AE">
      <w:pPr>
        <w:spacing w:before="120"/>
        <w:ind w:firstLine="426"/>
        <w:jc w:val="both"/>
        <w:rPr>
          <w:rFonts w:ascii="Arial" w:hAnsi="Arial" w:cs="Arial"/>
          <w:i/>
          <w:sz w:val="22"/>
          <w:szCs w:val="22"/>
        </w:rPr>
      </w:pPr>
      <w:r w:rsidRPr="004A1E02">
        <w:rPr>
          <w:rFonts w:ascii="Arial" w:hAnsi="Arial" w:cs="Arial"/>
          <w:i/>
          <w:sz w:val="22"/>
          <w:szCs w:val="22"/>
        </w:rPr>
        <w:t>Δια του παρόντος 1ου  Α.Π.Ε.  αποσαφηνίζεται ρητώς ότι:</w:t>
      </w:r>
    </w:p>
    <w:p w:rsidR="00FC15AE" w:rsidRPr="004A1E02" w:rsidRDefault="00FC15AE" w:rsidP="00FC15AE">
      <w:pPr>
        <w:pStyle w:val="af9"/>
        <w:numPr>
          <w:ilvl w:val="0"/>
          <w:numId w:val="33"/>
        </w:numPr>
        <w:suppressAutoHyphens w:val="0"/>
        <w:spacing w:before="120" w:after="200" w:line="276" w:lineRule="auto"/>
        <w:jc w:val="both"/>
        <w:rPr>
          <w:rFonts w:ascii="Arial" w:hAnsi="Arial" w:cs="Arial"/>
          <w:i/>
          <w:sz w:val="22"/>
          <w:szCs w:val="22"/>
        </w:rPr>
      </w:pPr>
      <w:r w:rsidRPr="004A1E02">
        <w:rPr>
          <w:rFonts w:ascii="Arial" w:hAnsi="Arial" w:cs="Arial"/>
          <w:i/>
          <w:sz w:val="22"/>
          <w:szCs w:val="22"/>
        </w:rPr>
        <w:t>Δεν προκαλείται ουδεμία αλλαγή του «Βασικού Σχεδίου» της Αρχικής Σύμβασης, όπως αυτό περιγράφεται από τα Συμβατικά Τεύχη και δεν θίγεται η πληρότητα, η ποιότητα και η λειτουργικότητα του Έργου.</w:t>
      </w:r>
    </w:p>
    <w:p w:rsidR="00FC15AE" w:rsidRPr="004A1E02" w:rsidRDefault="00FC15AE" w:rsidP="00FC15AE">
      <w:pPr>
        <w:pStyle w:val="af9"/>
        <w:numPr>
          <w:ilvl w:val="0"/>
          <w:numId w:val="33"/>
        </w:numPr>
        <w:suppressAutoHyphens w:val="0"/>
        <w:spacing w:before="120" w:after="200" w:line="276" w:lineRule="auto"/>
        <w:jc w:val="both"/>
        <w:rPr>
          <w:rFonts w:ascii="Arial" w:hAnsi="Arial" w:cs="Arial"/>
          <w:i/>
          <w:sz w:val="22"/>
          <w:szCs w:val="22"/>
        </w:rPr>
      </w:pPr>
      <w:r w:rsidRPr="004A1E02">
        <w:rPr>
          <w:rFonts w:ascii="Arial" w:hAnsi="Arial" w:cs="Arial"/>
          <w:i/>
          <w:sz w:val="22"/>
          <w:szCs w:val="22"/>
        </w:rPr>
        <w:t>Δεν τροποποιούνται οι προδιαγραφές του έργου, όπως αυτές περιγράφονται στα Συμβατικά Τεύχη.</w:t>
      </w:r>
    </w:p>
    <w:p w:rsidR="00FC15AE" w:rsidRPr="004A1E02" w:rsidRDefault="00FC15AE" w:rsidP="00FC15AE">
      <w:pPr>
        <w:pStyle w:val="af9"/>
        <w:numPr>
          <w:ilvl w:val="0"/>
          <w:numId w:val="33"/>
        </w:numPr>
        <w:suppressAutoHyphens w:val="0"/>
        <w:spacing w:before="120" w:after="200" w:line="276" w:lineRule="auto"/>
        <w:jc w:val="both"/>
        <w:rPr>
          <w:rFonts w:ascii="Arial" w:hAnsi="Arial" w:cs="Arial"/>
          <w:i/>
          <w:sz w:val="22"/>
          <w:szCs w:val="22"/>
        </w:rPr>
      </w:pPr>
      <w:r w:rsidRPr="004A1E02">
        <w:rPr>
          <w:rFonts w:ascii="Arial" w:hAnsi="Arial" w:cs="Arial"/>
          <w:i/>
          <w:sz w:val="22"/>
          <w:szCs w:val="22"/>
        </w:rPr>
        <w:t>Δεν καταργείται καμία Ομάδα Εργασιών της Αρχικής Σύμβασης.</w:t>
      </w:r>
    </w:p>
    <w:p w:rsidR="00FC15AE" w:rsidRPr="004A1E02" w:rsidRDefault="00FC15AE" w:rsidP="00FC15AE">
      <w:pPr>
        <w:pStyle w:val="af9"/>
        <w:numPr>
          <w:ilvl w:val="0"/>
          <w:numId w:val="33"/>
        </w:numPr>
        <w:suppressAutoHyphens w:val="0"/>
        <w:spacing w:before="120" w:after="200" w:line="276" w:lineRule="auto"/>
        <w:jc w:val="both"/>
        <w:rPr>
          <w:rFonts w:ascii="Arial" w:hAnsi="Arial" w:cs="Arial"/>
          <w:i/>
          <w:sz w:val="22"/>
          <w:szCs w:val="22"/>
        </w:rPr>
      </w:pPr>
      <w:r w:rsidRPr="004A1E02">
        <w:rPr>
          <w:rFonts w:ascii="Arial" w:hAnsi="Arial" w:cs="Arial"/>
          <w:i/>
          <w:sz w:val="22"/>
          <w:szCs w:val="22"/>
        </w:rPr>
        <w:t>Δεν υπάρχει ουδεμία επέκταση της εργολαβίας σε διαφορετικό από το δημοπρατηθέν Τεχνικό Αντικείμενο.</w:t>
      </w:r>
    </w:p>
    <w:p w:rsidR="00FC15AE" w:rsidRPr="004A1E02" w:rsidRDefault="00FC15AE" w:rsidP="00FC15AE">
      <w:pPr>
        <w:pStyle w:val="af9"/>
        <w:numPr>
          <w:ilvl w:val="0"/>
          <w:numId w:val="33"/>
        </w:numPr>
        <w:suppressAutoHyphens w:val="0"/>
        <w:spacing w:before="120" w:after="200" w:line="276" w:lineRule="auto"/>
        <w:jc w:val="both"/>
        <w:rPr>
          <w:rFonts w:ascii="Arial" w:hAnsi="Arial" w:cs="Arial"/>
          <w:i/>
          <w:sz w:val="22"/>
          <w:szCs w:val="22"/>
        </w:rPr>
      </w:pPr>
      <w:r w:rsidRPr="004A1E02">
        <w:rPr>
          <w:rFonts w:ascii="Arial" w:hAnsi="Arial" w:cs="Arial"/>
          <w:i/>
          <w:sz w:val="22"/>
          <w:szCs w:val="22"/>
        </w:rPr>
        <w:t>Ολοκληρώνεται το Φυσικό Αντικείμενο της Εργολαβίας.</w:t>
      </w:r>
    </w:p>
    <w:p w:rsidR="00FC15AE" w:rsidRPr="004A1E02" w:rsidRDefault="00FC15AE" w:rsidP="00FC15AE">
      <w:pPr>
        <w:pStyle w:val="af9"/>
        <w:spacing w:before="120"/>
        <w:ind w:left="0" w:hanging="2"/>
        <w:jc w:val="both"/>
        <w:rPr>
          <w:rFonts w:ascii="Arial" w:hAnsi="Arial" w:cs="Arial"/>
          <w:i/>
          <w:sz w:val="22"/>
          <w:szCs w:val="22"/>
        </w:rPr>
      </w:pPr>
    </w:p>
    <w:p w:rsidR="00FC15AE" w:rsidRPr="004A1E02" w:rsidRDefault="00FC15AE" w:rsidP="00FC15AE">
      <w:pPr>
        <w:pStyle w:val="af9"/>
        <w:spacing w:before="120"/>
        <w:ind w:left="0" w:hanging="2"/>
        <w:jc w:val="both"/>
        <w:rPr>
          <w:rFonts w:ascii="Arial" w:hAnsi="Arial" w:cs="Arial"/>
          <w:i/>
          <w:sz w:val="22"/>
          <w:szCs w:val="22"/>
        </w:rPr>
      </w:pPr>
      <w:r w:rsidRPr="004A1E02">
        <w:rPr>
          <w:rFonts w:ascii="Arial" w:hAnsi="Arial" w:cs="Arial"/>
          <w:i/>
          <w:sz w:val="22"/>
          <w:szCs w:val="22"/>
        </w:rPr>
        <w:t xml:space="preserve">Το τελικό ποσό της Σύμβασης με τον παρόντα 1ο Α.Π.Ε. , είναι 582.304,32 μειωτικός ως προς το ποσό της Σύμβαση </w:t>
      </w:r>
    </w:p>
    <w:p w:rsidR="00FC15AE" w:rsidRPr="004A1E02" w:rsidRDefault="00FC15AE" w:rsidP="00FC15AE">
      <w:pPr>
        <w:spacing w:before="120"/>
        <w:ind w:firstLine="426"/>
        <w:jc w:val="center"/>
        <w:rPr>
          <w:rFonts w:ascii="Arial" w:hAnsi="Arial" w:cs="Arial"/>
          <w:i/>
          <w:sz w:val="22"/>
          <w:szCs w:val="22"/>
        </w:rPr>
      </w:pPr>
      <w:r w:rsidRPr="004A1E02">
        <w:rPr>
          <w:rFonts w:ascii="Arial" w:hAnsi="Arial" w:cs="Arial"/>
          <w:i/>
          <w:sz w:val="22"/>
          <w:szCs w:val="22"/>
        </w:rPr>
        <w:t xml:space="preserve">Ο ανάδοχος υπέγραψε με  επιφύλαξη  τον 1ο ΑΠΕ </w:t>
      </w:r>
    </w:p>
    <w:p w:rsidR="00FC15AE" w:rsidRPr="004A1E02" w:rsidRDefault="00FC15AE" w:rsidP="00FC15AE">
      <w:pPr>
        <w:spacing w:before="120"/>
        <w:ind w:firstLine="426"/>
        <w:jc w:val="center"/>
        <w:rPr>
          <w:rFonts w:ascii="Arial" w:hAnsi="Arial" w:cs="Arial"/>
          <w:i/>
          <w:sz w:val="22"/>
          <w:szCs w:val="22"/>
        </w:rPr>
      </w:pPr>
    </w:p>
    <w:p w:rsidR="00FC15AE" w:rsidRPr="004A1E02" w:rsidRDefault="00FC15AE" w:rsidP="00FC15AE">
      <w:pPr>
        <w:spacing w:before="120"/>
        <w:ind w:firstLine="426"/>
        <w:jc w:val="both"/>
        <w:rPr>
          <w:rFonts w:ascii="Arial" w:hAnsi="Arial" w:cs="Arial"/>
          <w:b/>
          <w:i/>
          <w:sz w:val="22"/>
          <w:szCs w:val="22"/>
        </w:rPr>
      </w:pPr>
      <w:r w:rsidRPr="004A1E02">
        <w:rPr>
          <w:rFonts w:ascii="Arial" w:hAnsi="Arial" w:cs="Arial"/>
          <w:b/>
          <w:i/>
          <w:sz w:val="22"/>
          <w:szCs w:val="22"/>
        </w:rPr>
        <w:t>ΑΝΑΛΥΣΗ ΔΑΠΑΝΗΣ</w:t>
      </w:r>
    </w:p>
    <w:p w:rsidR="00FC15AE" w:rsidRPr="004A1E02" w:rsidRDefault="00FC15AE" w:rsidP="00FC15AE">
      <w:pPr>
        <w:spacing w:before="120"/>
        <w:ind w:firstLine="426"/>
        <w:jc w:val="both"/>
        <w:rPr>
          <w:rFonts w:ascii="Arial" w:hAnsi="Arial" w:cs="Arial"/>
          <w:i/>
          <w:sz w:val="22"/>
          <w:szCs w:val="22"/>
        </w:rPr>
      </w:pP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1843"/>
        <w:gridCol w:w="1843"/>
      </w:tblGrid>
      <w:tr w:rsidR="00FC15AE" w:rsidRPr="004A1E02" w:rsidTr="0049324A">
        <w:trPr>
          <w:cantSplit/>
          <w:trHeight w:val="625"/>
        </w:trPr>
        <w:tc>
          <w:tcPr>
            <w:tcW w:w="2410" w:type="dxa"/>
            <w:shd w:val="clear" w:color="auto" w:fill="auto"/>
            <w:vAlign w:val="center"/>
          </w:tcPr>
          <w:p w:rsidR="00FC15AE" w:rsidRPr="004A1E02" w:rsidRDefault="00FC15AE" w:rsidP="0049324A">
            <w:pPr>
              <w:ind w:left="34" w:right="34"/>
              <w:jc w:val="center"/>
              <w:rPr>
                <w:rFonts w:ascii="Arial" w:hAnsi="Arial" w:cs="Arial"/>
                <w:i/>
                <w:sz w:val="22"/>
                <w:szCs w:val="22"/>
              </w:rPr>
            </w:pPr>
            <w:r w:rsidRPr="004A1E02">
              <w:rPr>
                <w:rFonts w:ascii="Arial" w:hAnsi="Arial" w:cs="Arial"/>
                <w:i/>
                <w:sz w:val="22"/>
                <w:szCs w:val="22"/>
              </w:rPr>
              <w:t>ΑΙΤΙΟΛΟΓΙΑ</w:t>
            </w:r>
          </w:p>
        </w:tc>
        <w:tc>
          <w:tcPr>
            <w:tcW w:w="1843" w:type="dxa"/>
            <w:shd w:val="clear" w:color="auto" w:fill="auto"/>
            <w:vAlign w:val="center"/>
          </w:tcPr>
          <w:p w:rsidR="00FC15AE" w:rsidRPr="004A1E02" w:rsidRDefault="00FC15AE" w:rsidP="0049324A">
            <w:pPr>
              <w:ind w:right="34"/>
              <w:jc w:val="center"/>
              <w:rPr>
                <w:rFonts w:ascii="Arial" w:hAnsi="Arial" w:cs="Arial"/>
                <w:i/>
                <w:sz w:val="22"/>
                <w:szCs w:val="22"/>
              </w:rPr>
            </w:pPr>
            <w:r w:rsidRPr="004A1E02">
              <w:rPr>
                <w:rFonts w:ascii="Arial" w:hAnsi="Arial" w:cs="Arial"/>
                <w:i/>
                <w:sz w:val="22"/>
                <w:szCs w:val="22"/>
              </w:rPr>
              <w:t>ΑΡΧΙΚΗ ΣΥΜΒΑΣΗ</w:t>
            </w:r>
          </w:p>
        </w:tc>
        <w:tc>
          <w:tcPr>
            <w:tcW w:w="1843" w:type="dxa"/>
          </w:tcPr>
          <w:p w:rsidR="00FC15AE" w:rsidRPr="004A1E02" w:rsidRDefault="00FC15AE" w:rsidP="0049324A">
            <w:pPr>
              <w:ind w:right="34"/>
              <w:jc w:val="center"/>
              <w:rPr>
                <w:rFonts w:ascii="Arial" w:hAnsi="Arial" w:cs="Arial"/>
                <w:i/>
                <w:sz w:val="22"/>
                <w:szCs w:val="22"/>
              </w:rPr>
            </w:pPr>
            <w:r w:rsidRPr="004A1E02">
              <w:rPr>
                <w:rFonts w:ascii="Arial" w:hAnsi="Arial" w:cs="Arial"/>
                <w:i/>
                <w:sz w:val="22"/>
                <w:szCs w:val="22"/>
              </w:rPr>
              <w:t>1ος ΑΠΕ</w:t>
            </w:r>
          </w:p>
        </w:tc>
      </w:tr>
      <w:tr w:rsidR="00FC15AE" w:rsidRPr="004A1E02" w:rsidTr="0049324A">
        <w:trPr>
          <w:trHeight w:val="238"/>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 xml:space="preserve">Εργασίες </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440.014,24</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425.794,74</w:t>
            </w:r>
          </w:p>
        </w:tc>
      </w:tr>
      <w:tr w:rsidR="00FC15AE" w:rsidRPr="004A1E02" w:rsidTr="0049324A">
        <w:trPr>
          <w:trHeight w:val="260"/>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Απρόβλεπτα</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66.002,14</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263,18</w:t>
            </w:r>
          </w:p>
        </w:tc>
      </w:tr>
      <w:tr w:rsidR="00FC15AE" w:rsidRPr="004A1E02" w:rsidTr="0049324A">
        <w:trPr>
          <w:trHeight w:val="282"/>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Αναθεώρηση</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4.867,35</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40929,45</w:t>
            </w:r>
          </w:p>
        </w:tc>
      </w:tr>
      <w:tr w:rsidR="00FC15AE" w:rsidRPr="004A1E02" w:rsidTr="0049324A">
        <w:trPr>
          <w:trHeight w:val="282"/>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Απολογιστικά</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2.612,89</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2.612,89</w:t>
            </w:r>
          </w:p>
        </w:tc>
      </w:tr>
      <w:tr w:rsidR="00FC15AE" w:rsidRPr="004A1E02" w:rsidTr="0049324A">
        <w:trPr>
          <w:trHeight w:val="282"/>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 xml:space="preserve">Άθροισμα </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513.496.61</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469.600,26</w:t>
            </w:r>
          </w:p>
        </w:tc>
      </w:tr>
      <w:tr w:rsidR="00FC15AE" w:rsidRPr="004A1E02" w:rsidTr="0049324A">
        <w:trPr>
          <w:trHeight w:val="258"/>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Φ.Π.Α.</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123.239,19</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112.704,06</w:t>
            </w:r>
          </w:p>
        </w:tc>
      </w:tr>
      <w:tr w:rsidR="00FC15AE" w:rsidRPr="004A1E02" w:rsidTr="0049324A">
        <w:trPr>
          <w:trHeight w:val="406"/>
        </w:trPr>
        <w:tc>
          <w:tcPr>
            <w:tcW w:w="2410" w:type="dxa"/>
            <w:shd w:val="clear" w:color="auto" w:fill="auto"/>
            <w:vAlign w:val="center"/>
          </w:tcPr>
          <w:p w:rsidR="00FC15AE" w:rsidRPr="004A1E02" w:rsidRDefault="00FC15AE" w:rsidP="0049324A">
            <w:pPr>
              <w:ind w:left="34" w:right="34"/>
              <w:rPr>
                <w:rFonts w:ascii="Arial" w:hAnsi="Arial" w:cs="Arial"/>
                <w:i/>
                <w:sz w:val="22"/>
                <w:szCs w:val="22"/>
              </w:rPr>
            </w:pPr>
            <w:r w:rsidRPr="004A1E02">
              <w:rPr>
                <w:rFonts w:ascii="Arial" w:hAnsi="Arial" w:cs="Arial"/>
                <w:i/>
                <w:sz w:val="22"/>
                <w:szCs w:val="22"/>
              </w:rPr>
              <w:t>ΣΥΝΟΛΟ</w:t>
            </w:r>
          </w:p>
        </w:tc>
        <w:tc>
          <w:tcPr>
            <w:tcW w:w="1843" w:type="dxa"/>
            <w:shd w:val="clear" w:color="auto" w:fill="auto"/>
            <w:vAlign w:val="center"/>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636.735,81</w:t>
            </w:r>
          </w:p>
        </w:tc>
        <w:tc>
          <w:tcPr>
            <w:tcW w:w="1843" w:type="dxa"/>
          </w:tcPr>
          <w:p w:rsidR="00FC15AE" w:rsidRPr="004A1E02" w:rsidRDefault="00FC15AE" w:rsidP="0049324A">
            <w:pPr>
              <w:tabs>
                <w:tab w:val="left" w:pos="1309"/>
              </w:tabs>
              <w:ind w:right="34"/>
              <w:jc w:val="right"/>
              <w:rPr>
                <w:rFonts w:ascii="Arial" w:hAnsi="Arial" w:cs="Arial"/>
                <w:i/>
                <w:sz w:val="22"/>
                <w:szCs w:val="22"/>
              </w:rPr>
            </w:pPr>
            <w:r w:rsidRPr="004A1E02">
              <w:rPr>
                <w:rFonts w:ascii="Arial" w:hAnsi="Arial" w:cs="Arial"/>
                <w:i/>
                <w:sz w:val="22"/>
                <w:szCs w:val="22"/>
              </w:rPr>
              <w:t>582.304,32</w:t>
            </w:r>
          </w:p>
        </w:tc>
      </w:tr>
    </w:tbl>
    <w:p w:rsidR="00FC15AE" w:rsidRPr="004A1E02" w:rsidRDefault="00FC15AE" w:rsidP="00FC15AE">
      <w:pPr>
        <w:pStyle w:val="aff0"/>
        <w:jc w:val="center"/>
        <w:rPr>
          <w:rFonts w:ascii="Arial" w:hAnsi="Arial" w:cs="Arial"/>
          <w:i/>
        </w:rPr>
      </w:pPr>
    </w:p>
    <w:p w:rsidR="00FC15AE" w:rsidRPr="004A1E02" w:rsidRDefault="00FC15AE" w:rsidP="00FC15AE">
      <w:pPr>
        <w:pStyle w:val="aff0"/>
        <w:jc w:val="center"/>
        <w:rPr>
          <w:rFonts w:ascii="Arial" w:hAnsi="Arial" w:cs="Arial"/>
          <w:b/>
          <w:i/>
          <w:u w:val="single"/>
        </w:rPr>
      </w:pPr>
      <w:r w:rsidRPr="004A1E02">
        <w:rPr>
          <w:rFonts w:ascii="Arial" w:hAnsi="Arial" w:cs="Arial"/>
          <w:b/>
          <w:i/>
          <w:u w:val="single"/>
        </w:rPr>
        <w:lastRenderedPageBreak/>
        <w:t>Ε Ι Σ Η Γ Ο Υ Μ Ε Θ Α</w:t>
      </w:r>
    </w:p>
    <w:p w:rsidR="00FC15AE" w:rsidRPr="004A1E02" w:rsidRDefault="00FC15AE" w:rsidP="00FC15AE">
      <w:pPr>
        <w:pStyle w:val="aff0"/>
        <w:jc w:val="center"/>
        <w:rPr>
          <w:rFonts w:ascii="Arial" w:hAnsi="Arial" w:cs="Arial"/>
          <w:i/>
        </w:rPr>
      </w:pPr>
    </w:p>
    <w:p w:rsidR="00FC15AE" w:rsidRPr="004A1E02" w:rsidRDefault="00FC15AE" w:rsidP="00FC15AE">
      <w:pPr>
        <w:pStyle w:val="aff0"/>
        <w:spacing w:line="276" w:lineRule="auto"/>
        <w:jc w:val="both"/>
        <w:rPr>
          <w:rFonts w:ascii="Arial" w:hAnsi="Arial" w:cs="Arial"/>
          <w:i/>
        </w:rPr>
      </w:pPr>
      <w:r w:rsidRPr="004A1E02">
        <w:rPr>
          <w:rFonts w:ascii="Arial" w:hAnsi="Arial" w:cs="Arial"/>
          <w:i/>
        </w:rPr>
        <w:t xml:space="preserve">Την έγκριση του 1ου Ανακεφαλαιωτικού Πίνακα Εργασιών και του 1ου Π.Κ.Τ.Μ.Ν.Ε. του έργου: .  </w:t>
      </w:r>
      <w:r w:rsidR="00CF5B3B">
        <w:rPr>
          <w:rFonts w:ascii="Arial" w:hAnsi="Arial" w:cs="Arial"/>
          <w:i/>
        </w:rPr>
        <w:t>«</w:t>
      </w:r>
      <w:r w:rsidRPr="004A1E02">
        <w:rPr>
          <w:rFonts w:ascii="Arial" w:hAnsi="Arial" w:cs="Arial"/>
          <w:i/>
        </w:rPr>
        <w:t xml:space="preserve">ΑΝΑΒΑΘΜΙΣΗ ΔΗΜΟΤΙΚΟΥ ΣΤΑΔΙΟΥ ΛΙΒΑΔΕΙΑΣ» </w:t>
      </w:r>
      <w:r w:rsidRPr="004A1E02">
        <w:rPr>
          <w:rFonts w:ascii="Arial" w:hAnsi="Arial" w:cs="Arial"/>
          <w:b/>
          <w:bCs/>
          <w:i/>
        </w:rPr>
        <w:t xml:space="preserve">μειωτικού σε σχέση </w:t>
      </w:r>
      <w:r w:rsidRPr="004A1E02">
        <w:rPr>
          <w:rFonts w:ascii="Arial" w:hAnsi="Arial" w:cs="Arial"/>
          <w:i/>
        </w:rPr>
        <w:t xml:space="preserve"> με την συνολική δαπάνη της αρχικής Σύμβασης.</w:t>
      </w:r>
    </w:p>
    <w:p w:rsidR="00B20AF3" w:rsidRDefault="00B20AF3" w:rsidP="00AC7AC8">
      <w:pPr>
        <w:pStyle w:val="af1"/>
        <w:tabs>
          <w:tab w:val="clear" w:pos="4153"/>
          <w:tab w:val="clear" w:pos="8306"/>
        </w:tabs>
        <w:rPr>
          <w:rFonts w:ascii="Arial" w:hAnsi="Arial" w:cs="Arial"/>
          <w:sz w:val="22"/>
          <w:szCs w:val="22"/>
        </w:rPr>
      </w:pPr>
    </w:p>
    <w:p w:rsidR="00B20AF3"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BF41FB"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CF5B3B" w:rsidRPr="00CF5B3B" w:rsidRDefault="00CF5B3B" w:rsidP="00CF5B3B">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F5B3B" w:rsidRPr="00CF5B3B" w:rsidRDefault="00CF5B3B" w:rsidP="00CF5B3B">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F5B3B" w:rsidRPr="00CF5B3B" w:rsidRDefault="00CF5B3B" w:rsidP="00CF5B3B">
      <w:pPr>
        <w:pStyle w:val="10"/>
        <w:widowControl w:val="0"/>
        <w:numPr>
          <w:ilvl w:val="0"/>
          <w:numId w:val="0"/>
        </w:numPr>
        <w:tabs>
          <w:tab w:val="num" w:pos="720"/>
        </w:tabs>
        <w:ind w:left="142" w:hanging="432"/>
        <w:rPr>
          <w:rFonts w:ascii="Arial" w:hAnsi="Arial" w:cs="Arial"/>
          <w:color w:val="000000"/>
          <w:sz w:val="22"/>
          <w:szCs w:val="22"/>
        </w:rPr>
      </w:pPr>
      <w:r w:rsidRPr="00CF5B3B">
        <w:rPr>
          <w:rFonts w:ascii="Arial" w:hAnsi="Arial" w:cs="Arial"/>
          <w:sz w:val="22"/>
          <w:szCs w:val="22"/>
          <w:highlight w:val="white"/>
        </w:rPr>
        <w:t xml:space="preserve">   - Την </w:t>
      </w:r>
      <w:proofErr w:type="spellStart"/>
      <w:r w:rsidRPr="00CF5B3B">
        <w:rPr>
          <w:rFonts w:ascii="Arial" w:hAnsi="Arial" w:cs="Arial"/>
          <w:sz w:val="22"/>
          <w:szCs w:val="22"/>
          <w:highlight w:val="white"/>
        </w:rPr>
        <w:t>αριθμ</w:t>
      </w:r>
      <w:proofErr w:type="spellEnd"/>
      <w:r w:rsidRPr="00CF5B3B">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CF5B3B">
        <w:rPr>
          <w:rFonts w:ascii="Arial" w:hAnsi="Arial" w:cs="Arial"/>
          <w:sz w:val="22"/>
          <w:szCs w:val="22"/>
          <w:highlight w:val="white"/>
        </w:rPr>
        <w:t>Λεβαδέων</w:t>
      </w:r>
      <w:proofErr w:type="spellEnd"/>
      <w:r w:rsidRPr="00CF5B3B">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CF5B3B" w:rsidRPr="00CF5B3B" w:rsidRDefault="00CF5B3B" w:rsidP="00CF5B3B">
      <w:pPr>
        <w:autoSpaceDE w:val="0"/>
        <w:spacing w:after="27"/>
        <w:ind w:right="-127"/>
        <w:rPr>
          <w:rFonts w:ascii="Arial" w:hAnsi="Arial" w:cs="Arial"/>
          <w:sz w:val="22"/>
          <w:szCs w:val="22"/>
        </w:rPr>
      </w:pPr>
      <w:r w:rsidRPr="00CF5B3B">
        <w:rPr>
          <w:rFonts w:ascii="Arial" w:hAnsi="Arial" w:cs="Arial"/>
          <w:sz w:val="22"/>
          <w:szCs w:val="22"/>
        </w:rPr>
        <w:t xml:space="preserve">- </w:t>
      </w:r>
      <w:r w:rsidRPr="00CF5B3B">
        <w:rPr>
          <w:rFonts w:ascii="Arial" w:eastAsia="Arial" w:hAnsi="Arial" w:cs="Arial"/>
          <w:sz w:val="22"/>
          <w:szCs w:val="22"/>
        </w:rPr>
        <w:t xml:space="preserve"> Τον  1</w:t>
      </w:r>
      <w:r w:rsidRPr="00CF5B3B">
        <w:rPr>
          <w:rFonts w:ascii="Arial" w:eastAsia="Arial" w:hAnsi="Arial" w:cs="Arial"/>
          <w:sz w:val="22"/>
          <w:szCs w:val="22"/>
          <w:vertAlign w:val="superscript"/>
        </w:rPr>
        <w:t>ο</w:t>
      </w:r>
      <w:r w:rsidRPr="00CF5B3B">
        <w:rPr>
          <w:rFonts w:ascii="Arial" w:eastAsia="Arial" w:hAnsi="Arial" w:cs="Arial"/>
          <w:sz w:val="22"/>
          <w:szCs w:val="22"/>
        </w:rPr>
        <w:t xml:space="preserve"> </w:t>
      </w:r>
      <w:r>
        <w:rPr>
          <w:rFonts w:ascii="Arial" w:hAnsi="Arial" w:cs="Arial"/>
          <w:sz w:val="22"/>
          <w:szCs w:val="22"/>
        </w:rPr>
        <w:t>Ανακεφαλαιωτικό Π</w:t>
      </w:r>
      <w:r w:rsidRPr="00CF5B3B">
        <w:rPr>
          <w:rFonts w:ascii="Arial" w:hAnsi="Arial" w:cs="Arial"/>
          <w:sz w:val="22"/>
          <w:szCs w:val="22"/>
        </w:rPr>
        <w:t>ίνακα</w:t>
      </w:r>
      <w:r w:rsidRPr="00CF5B3B">
        <w:rPr>
          <w:rFonts w:ascii="Arial" w:hAnsi="Arial" w:cs="Arial"/>
        </w:rPr>
        <w:t xml:space="preserve">  &amp; Π.Κ.Τ.Μ.Ν.Ε</w:t>
      </w:r>
      <w:r w:rsidRPr="00CF5B3B">
        <w:rPr>
          <w:rFonts w:ascii="Arial" w:hAnsi="Arial" w:cs="Arial"/>
          <w:b/>
          <w:sz w:val="22"/>
          <w:szCs w:val="22"/>
        </w:rPr>
        <w:t xml:space="preserve"> </w:t>
      </w:r>
      <w:r w:rsidRPr="00CF5B3B">
        <w:rPr>
          <w:rFonts w:ascii="Arial" w:hAnsi="Arial" w:cs="Arial"/>
          <w:sz w:val="22"/>
          <w:szCs w:val="22"/>
        </w:rPr>
        <w:t xml:space="preserve">καθώς και την αιτιολογική έκθεση που τον συνοδεύει  του </w:t>
      </w:r>
      <w:r w:rsidRPr="00CF5B3B">
        <w:rPr>
          <w:rFonts w:ascii="Arial" w:hAnsi="Arial" w:cs="Arial"/>
          <w:bCs/>
          <w:sz w:val="22"/>
          <w:szCs w:val="22"/>
        </w:rPr>
        <w:t xml:space="preserve">έργου  </w:t>
      </w:r>
      <w:r w:rsidRPr="00CF5B3B">
        <w:rPr>
          <w:rFonts w:ascii="Arial" w:hAnsi="Arial" w:cs="Arial"/>
        </w:rPr>
        <w:t xml:space="preserve">«ΑΝΑΒΑΘΜΙΣΗ ΔΗΜΟΤΙΚΟΥ ΣΤΑΔΙΟΥ </w:t>
      </w:r>
      <w:r>
        <w:rPr>
          <w:rFonts w:ascii="Arial" w:hAnsi="Arial" w:cs="Arial"/>
        </w:rPr>
        <w:t xml:space="preserve"> Λ</w:t>
      </w:r>
      <w:r w:rsidRPr="00CF5B3B">
        <w:rPr>
          <w:rFonts w:ascii="Arial" w:hAnsi="Arial" w:cs="Arial"/>
        </w:rPr>
        <w:t xml:space="preserve">ΙΒΑΔΕΙΑΣ» </w:t>
      </w:r>
      <w:r w:rsidRPr="00CF5B3B">
        <w:rPr>
          <w:rFonts w:ascii="Arial" w:hAnsi="Arial" w:cs="Arial"/>
          <w:sz w:val="22"/>
          <w:szCs w:val="22"/>
        </w:rPr>
        <w:t>που είχε διανεμηθεί .</w:t>
      </w:r>
    </w:p>
    <w:p w:rsidR="00CF5B3B" w:rsidRPr="00CF5B3B" w:rsidRDefault="00CF5B3B" w:rsidP="00CF5B3B">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2</w:t>
      </w:r>
      <w:r>
        <w:rPr>
          <w:rFonts w:ascii="Arial" w:eastAsia="Arial" w:hAnsi="Arial" w:cs="Arial"/>
          <w:sz w:val="22"/>
          <w:szCs w:val="22"/>
        </w:rPr>
        <w:t>3982</w:t>
      </w:r>
      <w:r w:rsidRPr="00CF5B3B">
        <w:rPr>
          <w:rFonts w:ascii="Arial" w:eastAsia="Arial" w:hAnsi="Arial" w:cs="Arial"/>
          <w:sz w:val="22"/>
          <w:szCs w:val="22"/>
        </w:rPr>
        <w:t>/</w:t>
      </w:r>
      <w:r>
        <w:rPr>
          <w:rFonts w:ascii="Arial" w:eastAsia="Arial" w:hAnsi="Arial" w:cs="Arial"/>
          <w:sz w:val="22"/>
          <w:szCs w:val="22"/>
        </w:rPr>
        <w:t>2</w:t>
      </w:r>
      <w:r w:rsidRPr="00CF5B3B">
        <w:rPr>
          <w:rFonts w:ascii="Arial" w:eastAsia="Arial" w:hAnsi="Arial" w:cs="Arial"/>
          <w:sz w:val="22"/>
          <w:szCs w:val="22"/>
        </w:rPr>
        <w:t xml:space="preserve">5-11-2025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CF5B3B" w:rsidRPr="00CF5B3B" w:rsidRDefault="00CF5B3B" w:rsidP="00CF5B3B">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t>-</w:t>
      </w:r>
      <w:r w:rsidRPr="00CF5B3B">
        <w:rPr>
          <w:rFonts w:ascii="Arial" w:hAnsi="Arial" w:cs="Arial"/>
          <w:sz w:val="22"/>
          <w:szCs w:val="22"/>
        </w:rPr>
        <w:t xml:space="preserve"> Την μεταξύ των μελών συζήτηση σύμφωνα με τα πρακτικά</w:t>
      </w:r>
    </w:p>
    <w:p w:rsidR="00CF5B3B" w:rsidRPr="00CF5B3B" w:rsidRDefault="00CF5B3B" w:rsidP="00CF5B3B">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CF5B3B" w:rsidRPr="009D684B" w:rsidRDefault="00CF5B3B" w:rsidP="00CF5B3B">
      <w:pPr>
        <w:widowControl w:val="0"/>
        <w:jc w:val="both"/>
        <w:rPr>
          <w:rFonts w:ascii="Arial" w:hAnsi="Arial" w:cs="Arial"/>
          <w:sz w:val="22"/>
          <w:szCs w:val="22"/>
        </w:rPr>
      </w:pPr>
    </w:p>
    <w:p w:rsidR="00CF5B3B" w:rsidRDefault="00CF5B3B" w:rsidP="00CF5B3B">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CF5B3B" w:rsidRPr="009D684B" w:rsidRDefault="00CF5B3B" w:rsidP="00CF5B3B">
      <w:pPr>
        <w:tabs>
          <w:tab w:val="left" w:pos="559"/>
          <w:tab w:val="left" w:pos="1555"/>
        </w:tabs>
        <w:jc w:val="center"/>
        <w:rPr>
          <w:rFonts w:ascii="Arial" w:hAnsi="Arial" w:cs="Arial"/>
          <w:b/>
          <w:bCs/>
          <w:sz w:val="22"/>
          <w:szCs w:val="22"/>
        </w:rPr>
      </w:pPr>
    </w:p>
    <w:p w:rsidR="00547222" w:rsidRPr="00547222" w:rsidRDefault="00CF5B3B" w:rsidP="00547222">
      <w:pPr>
        <w:pStyle w:val="aff0"/>
        <w:spacing w:line="276" w:lineRule="auto"/>
        <w:jc w:val="both"/>
        <w:rPr>
          <w:rFonts w:ascii="Arial" w:hAnsi="Arial" w:cs="Arial"/>
        </w:rPr>
      </w:pPr>
      <w:r w:rsidRPr="00F453AE">
        <w:rPr>
          <w:rFonts w:ascii="Arial" w:hAnsi="Arial" w:cs="Arial"/>
        </w:rPr>
        <w:t xml:space="preserve">      Εγκρίνει τον  1</w:t>
      </w:r>
      <w:r w:rsidRPr="00F453AE">
        <w:rPr>
          <w:rFonts w:ascii="Arial" w:hAnsi="Arial" w:cs="Arial"/>
          <w:vertAlign w:val="superscript"/>
        </w:rPr>
        <w:t>ο</w:t>
      </w:r>
      <w:r w:rsidRPr="00F453AE">
        <w:rPr>
          <w:rFonts w:ascii="Arial" w:hAnsi="Arial" w:cs="Arial"/>
        </w:rPr>
        <w:t xml:space="preserve">  Ανακεφαλαιωτικό Πίνακα </w:t>
      </w:r>
      <w:r w:rsidRPr="00B4116F">
        <w:rPr>
          <w:rFonts w:ascii="Arial" w:hAnsi="Arial" w:cs="Arial"/>
        </w:rPr>
        <w:t xml:space="preserve">εργασιών </w:t>
      </w:r>
      <w:r w:rsidR="00B4116F" w:rsidRPr="00B4116F">
        <w:rPr>
          <w:rFonts w:ascii="Arial" w:hAnsi="Arial" w:cs="Arial"/>
        </w:rPr>
        <w:t>και τον 1</w:t>
      </w:r>
      <w:r w:rsidR="00B4116F" w:rsidRPr="00B4116F">
        <w:rPr>
          <w:rFonts w:ascii="Arial" w:hAnsi="Arial" w:cs="Arial"/>
          <w:vertAlign w:val="superscript"/>
        </w:rPr>
        <w:t>ο</w:t>
      </w:r>
      <w:r w:rsidR="00B4116F" w:rsidRPr="00B4116F">
        <w:rPr>
          <w:rFonts w:ascii="Arial" w:hAnsi="Arial" w:cs="Arial"/>
        </w:rPr>
        <w:t xml:space="preserve">  Π.Κ.Τ.Μ.Ν.Ε.</w:t>
      </w:r>
      <w:r w:rsidR="00B4116F" w:rsidRPr="004A1E02">
        <w:rPr>
          <w:rFonts w:ascii="Arial" w:hAnsi="Arial" w:cs="Arial"/>
          <w:i/>
        </w:rPr>
        <w:t xml:space="preserve"> </w:t>
      </w:r>
      <w:r w:rsidRPr="00F453AE">
        <w:rPr>
          <w:rFonts w:ascii="Arial" w:hAnsi="Arial" w:cs="Arial"/>
        </w:rPr>
        <w:t xml:space="preserve">του έργου : «ΑΝΑΒΑΘΜΙΣΗ ΔΗΜΟΤΙΚΟΥ ΣΤΑΔΙΟΥ  ΛΙΒΑΔΕΙΑΣ» </w:t>
      </w:r>
      <w:r w:rsidRPr="00F453AE">
        <w:rPr>
          <w:rFonts w:ascii="Arial" w:eastAsia="Arial Unicode MS" w:hAnsi="Arial" w:cs="Arial"/>
        </w:rPr>
        <w:t xml:space="preserve"> , </w:t>
      </w:r>
      <w:r w:rsidRPr="00F453AE">
        <w:rPr>
          <w:rFonts w:ascii="Arial" w:hAnsi="Arial" w:cs="Arial"/>
        </w:rPr>
        <w:t xml:space="preserve"> ο οποίος</w:t>
      </w:r>
      <w:r w:rsidRPr="00F453AE">
        <w:rPr>
          <w:rFonts w:ascii="Arial" w:hAnsi="Arial" w:cs="Arial"/>
          <w:b/>
        </w:rPr>
        <w:t xml:space="preserve"> </w:t>
      </w:r>
      <w:r w:rsidRPr="00F453AE">
        <w:rPr>
          <w:rFonts w:ascii="Arial" w:hAnsi="Arial" w:cs="Arial"/>
          <w:color w:val="00000A"/>
        </w:rPr>
        <w:t xml:space="preserve">ανέρχεται στο ποσό </w:t>
      </w:r>
      <w:r w:rsidRPr="00F453AE">
        <w:rPr>
          <w:rFonts w:ascii="Arial" w:hAnsi="Arial" w:cs="Arial"/>
        </w:rPr>
        <w:t xml:space="preserve">των  </w:t>
      </w:r>
      <w:r w:rsidR="00F453AE" w:rsidRPr="00F453AE">
        <w:rPr>
          <w:rFonts w:ascii="Arial" w:hAnsi="Arial" w:cs="Arial"/>
        </w:rPr>
        <w:t xml:space="preserve">582.304,32 </w:t>
      </w:r>
      <w:r w:rsidR="00547222">
        <w:rPr>
          <w:rFonts w:ascii="Arial" w:hAnsi="Arial" w:cs="Arial"/>
        </w:rPr>
        <w:t xml:space="preserve"> </w:t>
      </w:r>
      <w:r w:rsidR="00F453AE" w:rsidRPr="00F453AE">
        <w:rPr>
          <w:rFonts w:ascii="Arial" w:hAnsi="Arial" w:cs="Arial"/>
        </w:rPr>
        <w:t xml:space="preserve">και είναι  </w:t>
      </w:r>
      <w:r w:rsidR="00F453AE" w:rsidRPr="00547222">
        <w:rPr>
          <w:rFonts w:ascii="Arial" w:hAnsi="Arial" w:cs="Arial"/>
        </w:rPr>
        <w:t xml:space="preserve">μειωτικός </w:t>
      </w:r>
      <w:r w:rsidR="00547222" w:rsidRPr="00547222">
        <w:rPr>
          <w:rFonts w:ascii="Arial" w:hAnsi="Arial" w:cs="Arial"/>
          <w:bCs/>
        </w:rPr>
        <w:t xml:space="preserve">σε σχέση </w:t>
      </w:r>
      <w:r w:rsidR="00547222" w:rsidRPr="00547222">
        <w:rPr>
          <w:rFonts w:ascii="Arial" w:hAnsi="Arial" w:cs="Arial"/>
        </w:rPr>
        <w:t xml:space="preserve"> με την συνολική δαπάνη της αρχικής Σύμβασης.</w:t>
      </w:r>
    </w:p>
    <w:p w:rsidR="00B20AF3" w:rsidRDefault="00B20AF3" w:rsidP="00B20AF3">
      <w:pPr>
        <w:spacing w:line="276" w:lineRule="auto"/>
        <w:ind w:firstLine="709"/>
        <w:jc w:val="both"/>
        <w:rPr>
          <w:rFonts w:ascii="Arial" w:hAnsi="Arial" w:cs="Arial"/>
          <w:sz w:val="22"/>
          <w:szCs w:val="22"/>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CF5B3B">
        <w:rPr>
          <w:rFonts w:ascii="Arial" w:hAnsi="Arial" w:cs="Arial"/>
          <w:b/>
          <w:sz w:val="22"/>
          <w:szCs w:val="22"/>
        </w:rPr>
        <w:t>42</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w:t>
      </w:r>
      <w:r w:rsidR="005A0388">
        <w:rPr>
          <w:rFonts w:ascii="Arial" w:eastAsia="Arial" w:hAnsi="Arial" w:cs="Arial"/>
          <w:sz w:val="22"/>
          <w:szCs w:val="22"/>
        </w:rPr>
        <w:t xml:space="preserve">5.    </w:t>
      </w:r>
      <w:proofErr w:type="spellStart"/>
      <w:r w:rsidR="005A0388">
        <w:rPr>
          <w:rFonts w:ascii="Arial" w:eastAsia="Arial" w:hAnsi="Arial" w:cs="Arial"/>
          <w:sz w:val="22"/>
          <w:szCs w:val="22"/>
        </w:rPr>
        <w:t>Ταγκαλέγκας</w:t>
      </w:r>
      <w:proofErr w:type="spellEnd"/>
      <w:r w:rsidR="005A0388">
        <w:rPr>
          <w:rFonts w:ascii="Arial" w:eastAsia="Arial" w:hAnsi="Arial" w:cs="Arial"/>
          <w:sz w:val="22"/>
          <w:szCs w:val="22"/>
        </w:rPr>
        <w:t xml:space="preserve"> Ιωάννης</w:t>
      </w:r>
      <w:r>
        <w:rPr>
          <w:rFonts w:ascii="Arial" w:eastAsia="Arial" w:hAnsi="Arial" w:cs="Arial"/>
          <w:sz w:val="22"/>
          <w:szCs w:val="22"/>
        </w:rPr>
        <w:t xml:space="preserve">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5A0388">
        <w:rPr>
          <w:rFonts w:ascii="Arial" w:hAnsi="Arial" w:cs="Arial"/>
          <w:sz w:val="22"/>
          <w:szCs w:val="22"/>
        </w:rPr>
        <w:t>0</w:t>
      </w:r>
      <w:r w:rsidR="00511FE7">
        <w:rPr>
          <w:rFonts w:ascii="Arial" w:hAnsi="Arial" w:cs="Arial"/>
          <w:sz w:val="22"/>
          <w:szCs w:val="22"/>
        </w:rPr>
        <w:t>2</w:t>
      </w:r>
      <w:r>
        <w:rPr>
          <w:rFonts w:ascii="Arial" w:hAnsi="Arial" w:cs="Arial"/>
          <w:sz w:val="22"/>
          <w:szCs w:val="22"/>
        </w:rPr>
        <w:t xml:space="preserve"> -1</w:t>
      </w:r>
      <w:r w:rsidR="005A0388">
        <w:rPr>
          <w:rFonts w:ascii="Arial" w:hAnsi="Arial" w:cs="Arial"/>
          <w:sz w:val="22"/>
          <w:szCs w:val="22"/>
        </w:rPr>
        <w:t>2</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761" w:rsidRDefault="00B57761">
      <w:r>
        <w:separator/>
      </w:r>
    </w:p>
  </w:endnote>
  <w:endnote w:type="continuationSeparator" w:id="0">
    <w:p w:rsidR="00B57761" w:rsidRDefault="00B57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761" w:rsidRDefault="00B57761">
      <w:r>
        <w:separator/>
      </w:r>
    </w:p>
  </w:footnote>
  <w:footnote w:type="continuationSeparator" w:id="0">
    <w:p w:rsidR="00B57761" w:rsidRDefault="00B57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997E02">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997E02">
                <w:pPr>
                  <w:pStyle w:val="af1"/>
                </w:pPr>
                <w:r>
                  <w:rPr>
                    <w:rStyle w:val="a3"/>
                  </w:rPr>
                  <w:fldChar w:fldCharType="begin"/>
                </w:r>
                <w:r w:rsidR="004B46A4">
                  <w:rPr>
                    <w:rStyle w:val="a3"/>
                  </w:rPr>
                  <w:instrText xml:space="preserve"> PAGE </w:instrText>
                </w:r>
                <w:r>
                  <w:rPr>
                    <w:rStyle w:val="a3"/>
                  </w:rPr>
                  <w:fldChar w:fldCharType="separate"/>
                </w:r>
                <w:r w:rsidR="00B4116F">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124C9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943776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71E7D0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24C974C0"/>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1791D9C"/>
    <w:multiLevelType w:val="multilevel"/>
    <w:tmpl w:val="5EC87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0">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1">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2C259CD"/>
    <w:multiLevelType w:val="hybridMultilevel"/>
    <w:tmpl w:val="99666E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88D67A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32">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47D58F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4"/>
  </w:num>
  <w:num w:numId="7">
    <w:abstractNumId w:val="3"/>
  </w:num>
  <w:num w:numId="8">
    <w:abstractNumId w:val="4"/>
  </w:num>
  <w:num w:numId="9">
    <w:abstractNumId w:val="5"/>
  </w:num>
  <w:num w:numId="10">
    <w:abstractNumId w:val="6"/>
  </w:num>
  <w:num w:numId="11">
    <w:abstractNumId w:val="7"/>
  </w:num>
  <w:num w:numId="12">
    <w:abstractNumId w:val="20"/>
  </w:num>
  <w:num w:numId="13">
    <w:abstractNumId w:val="17"/>
  </w:num>
  <w:num w:numId="14">
    <w:abstractNumId w:val="31"/>
  </w:num>
  <w:num w:numId="15">
    <w:abstractNumId w:val="14"/>
  </w:num>
  <w:num w:numId="16">
    <w:abstractNumId w:val="29"/>
  </w:num>
  <w:num w:numId="17">
    <w:abstractNumId w:val="12"/>
  </w:num>
  <w:num w:numId="18">
    <w:abstractNumId w:val="1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32"/>
  </w:num>
  <w:num w:numId="23">
    <w:abstractNumId w:val="34"/>
  </w:num>
  <w:num w:numId="24">
    <w:abstractNumId w:val="23"/>
  </w:num>
  <w:num w:numId="25">
    <w:abstractNumId w:val="28"/>
  </w:num>
  <w:num w:numId="26">
    <w:abstractNumId w:val="21"/>
  </w:num>
  <w:num w:numId="27">
    <w:abstractNumId w:val="11"/>
  </w:num>
  <w:num w:numId="28">
    <w:abstractNumId w:val="13"/>
  </w:num>
  <w:num w:numId="29">
    <w:abstractNumId w:val="30"/>
  </w:num>
  <w:num w:numId="30">
    <w:abstractNumId w:val="15"/>
  </w:num>
  <w:num w:numId="31">
    <w:abstractNumId w:val="33"/>
  </w:num>
  <w:num w:numId="32">
    <w:abstractNumId w:val="16"/>
  </w:num>
  <w:num w:numId="33">
    <w:abstractNumId w:val="18"/>
  </w:num>
  <w:num w:numId="34">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00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5037"/>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2F9"/>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0597A"/>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15C6"/>
    <w:rsid w:val="00262B0C"/>
    <w:rsid w:val="00264794"/>
    <w:rsid w:val="0026644A"/>
    <w:rsid w:val="00266930"/>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67E5"/>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1E02"/>
    <w:rsid w:val="004A4FD6"/>
    <w:rsid w:val="004A6A11"/>
    <w:rsid w:val="004A6ABB"/>
    <w:rsid w:val="004B06B4"/>
    <w:rsid w:val="004B2C20"/>
    <w:rsid w:val="004B2E58"/>
    <w:rsid w:val="004B46A4"/>
    <w:rsid w:val="004B4E81"/>
    <w:rsid w:val="004B7126"/>
    <w:rsid w:val="004C1DAF"/>
    <w:rsid w:val="004C27B5"/>
    <w:rsid w:val="004C467C"/>
    <w:rsid w:val="004D22B1"/>
    <w:rsid w:val="004E1DDF"/>
    <w:rsid w:val="004E1F9F"/>
    <w:rsid w:val="004E363D"/>
    <w:rsid w:val="004E42A0"/>
    <w:rsid w:val="004E5178"/>
    <w:rsid w:val="004E680E"/>
    <w:rsid w:val="004E6F72"/>
    <w:rsid w:val="004E727A"/>
    <w:rsid w:val="004F27CA"/>
    <w:rsid w:val="0050268E"/>
    <w:rsid w:val="00505623"/>
    <w:rsid w:val="00507F34"/>
    <w:rsid w:val="00507FE0"/>
    <w:rsid w:val="005109CE"/>
    <w:rsid w:val="00511FE7"/>
    <w:rsid w:val="005151C1"/>
    <w:rsid w:val="005178E5"/>
    <w:rsid w:val="00520FA4"/>
    <w:rsid w:val="00524E7C"/>
    <w:rsid w:val="00525AD0"/>
    <w:rsid w:val="00526082"/>
    <w:rsid w:val="0052635A"/>
    <w:rsid w:val="0052681C"/>
    <w:rsid w:val="00526B61"/>
    <w:rsid w:val="00532613"/>
    <w:rsid w:val="00532BC7"/>
    <w:rsid w:val="00534BAD"/>
    <w:rsid w:val="00537494"/>
    <w:rsid w:val="00540DC2"/>
    <w:rsid w:val="0054173F"/>
    <w:rsid w:val="00547183"/>
    <w:rsid w:val="005471DC"/>
    <w:rsid w:val="00547222"/>
    <w:rsid w:val="00547736"/>
    <w:rsid w:val="0055042A"/>
    <w:rsid w:val="00550F64"/>
    <w:rsid w:val="005516FD"/>
    <w:rsid w:val="00551E6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0388"/>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4AA2"/>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07644"/>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6045"/>
    <w:rsid w:val="007970C0"/>
    <w:rsid w:val="00797659"/>
    <w:rsid w:val="00797680"/>
    <w:rsid w:val="007A20AC"/>
    <w:rsid w:val="007A3F13"/>
    <w:rsid w:val="007A62E8"/>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4A0D"/>
    <w:rsid w:val="007E5293"/>
    <w:rsid w:val="007E5B21"/>
    <w:rsid w:val="007E622E"/>
    <w:rsid w:val="007E6F5B"/>
    <w:rsid w:val="007E7D46"/>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97E02"/>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1CA4"/>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4D1B"/>
    <w:rsid w:val="00AF7C0E"/>
    <w:rsid w:val="00B01001"/>
    <w:rsid w:val="00B0133E"/>
    <w:rsid w:val="00B04804"/>
    <w:rsid w:val="00B04994"/>
    <w:rsid w:val="00B050E7"/>
    <w:rsid w:val="00B136D0"/>
    <w:rsid w:val="00B13EA2"/>
    <w:rsid w:val="00B14530"/>
    <w:rsid w:val="00B16BE3"/>
    <w:rsid w:val="00B16C92"/>
    <w:rsid w:val="00B20AF3"/>
    <w:rsid w:val="00B214AE"/>
    <w:rsid w:val="00B23460"/>
    <w:rsid w:val="00B2563A"/>
    <w:rsid w:val="00B3167D"/>
    <w:rsid w:val="00B3207E"/>
    <w:rsid w:val="00B3382E"/>
    <w:rsid w:val="00B36F68"/>
    <w:rsid w:val="00B4116F"/>
    <w:rsid w:val="00B42A01"/>
    <w:rsid w:val="00B43889"/>
    <w:rsid w:val="00B44282"/>
    <w:rsid w:val="00B46C07"/>
    <w:rsid w:val="00B515E5"/>
    <w:rsid w:val="00B5190C"/>
    <w:rsid w:val="00B523B0"/>
    <w:rsid w:val="00B57761"/>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41FB"/>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37254"/>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5B3B"/>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5F7"/>
    <w:rsid w:val="00D17BBF"/>
    <w:rsid w:val="00D23E8B"/>
    <w:rsid w:val="00D2710C"/>
    <w:rsid w:val="00D2744A"/>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1EBE"/>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9618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3A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5AE"/>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0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link w:val="20"/>
    <w:uiPriority w:val="99"/>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1">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2">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3">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4">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5">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6">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7">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8">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8"/>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9">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0">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styleId="20">
    <w:name w:val="Body Text Indent 2"/>
    <w:basedOn w:val="a"/>
    <w:link w:val="2Char1"/>
    <w:uiPriority w:val="99"/>
    <w:semiHidden/>
    <w:unhideWhenUsed/>
    <w:rsid w:val="00FC15AE"/>
    <w:pPr>
      <w:spacing w:after="120" w:line="480" w:lineRule="auto"/>
      <w:ind w:left="283"/>
    </w:pPr>
    <w:rPr>
      <w:lang w:eastAsia="el-GR"/>
    </w:rPr>
  </w:style>
  <w:style w:type="character" w:customStyle="1" w:styleId="2Char3">
    <w:name w:val="Σώμα κείμενου με εσοχή 2 Char3"/>
    <w:basedOn w:val="a0"/>
    <w:link w:val="20"/>
    <w:uiPriority w:val="99"/>
    <w:semiHidden/>
    <w:rsid w:val="00FC15AE"/>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0C296-DE2A-40DD-A390-4D357B99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2112</Words>
  <Characters>11405</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13491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2025-11-18T09:15:00Z</cp:lastPrinted>
  <dcterms:created xsi:type="dcterms:W3CDTF">2025-12-02T08:13:00Z</dcterms:created>
  <dcterms:modified xsi:type="dcterms:W3CDTF">2025-12-02T12:26:00Z</dcterms:modified>
</cp:coreProperties>
</file>