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4B2EBB" w:rsidRDefault="00DC5911" w:rsidP="00DC5911">
      <w:pPr>
        <w:autoSpaceDE w:val="0"/>
        <w:rPr>
          <w:rFonts w:asciiTheme="minorHAnsi" w:eastAsia="Arial" w:hAnsiTheme="minorHAnsi" w:cstheme="minorHAnsi"/>
          <w:b/>
          <w:bCs/>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ΑΝΑΡΤΗΤΕΑ ΣΤΟ ΔΙΑΥΓΕΙΑ       </w:t>
      </w:r>
    </w:p>
    <w:p w:rsidR="00DC5911" w:rsidRPr="004B2EBB" w:rsidRDefault="00DC5911" w:rsidP="00DC5911">
      <w:pPr>
        <w:autoSpaceDE w:val="0"/>
        <w:rPr>
          <w:rFonts w:asciiTheme="minorHAnsi" w:eastAsia="Arial" w:hAnsiTheme="minorHAnsi" w:cstheme="minorHAnsi"/>
          <w:b/>
          <w:bCs/>
          <w:sz w:val="22"/>
          <w:szCs w:val="22"/>
        </w:rPr>
      </w:pPr>
      <w:r w:rsidRPr="004B2EBB">
        <w:rPr>
          <w:rFonts w:asciiTheme="minorHAnsi" w:eastAsia="Arial" w:hAnsiTheme="minorHAnsi" w:cstheme="minorHAnsi"/>
          <w:b/>
          <w:bCs/>
          <w:sz w:val="22"/>
          <w:szCs w:val="22"/>
        </w:rPr>
        <w:t xml:space="preserve">                                                                                                 Λιβαδειά     1</w:t>
      </w:r>
      <w:r w:rsidR="00B375E6" w:rsidRPr="004B2EBB">
        <w:rPr>
          <w:rFonts w:asciiTheme="minorHAnsi" w:eastAsia="Arial" w:hAnsiTheme="minorHAnsi" w:cstheme="minorHAnsi"/>
          <w:b/>
          <w:bCs/>
          <w:sz w:val="22"/>
          <w:szCs w:val="22"/>
        </w:rPr>
        <w:t>1</w:t>
      </w:r>
      <w:r w:rsidRPr="004B2EBB">
        <w:rPr>
          <w:rFonts w:asciiTheme="minorHAnsi" w:eastAsia="Arial" w:hAnsiTheme="minorHAnsi" w:cstheme="minorHAnsi"/>
          <w:b/>
          <w:bCs/>
          <w:sz w:val="22"/>
          <w:szCs w:val="22"/>
        </w:rPr>
        <w:t xml:space="preserve"> /</w:t>
      </w:r>
      <w:r w:rsidR="00B375E6" w:rsidRPr="004B2EBB">
        <w:rPr>
          <w:rFonts w:asciiTheme="minorHAnsi" w:eastAsia="Arial" w:hAnsiTheme="minorHAnsi" w:cstheme="minorHAnsi"/>
          <w:b/>
          <w:bCs/>
          <w:sz w:val="22"/>
          <w:szCs w:val="22"/>
        </w:rPr>
        <w:t>11</w:t>
      </w:r>
      <w:r w:rsidRPr="004B2EBB">
        <w:rPr>
          <w:rFonts w:asciiTheme="minorHAnsi" w:eastAsia="Arial" w:hAnsiTheme="minorHAnsi" w:cstheme="minorHAnsi"/>
          <w:b/>
          <w:bCs/>
          <w:sz w:val="22"/>
          <w:szCs w:val="22"/>
        </w:rPr>
        <w:t xml:space="preserve">/2025  </w:t>
      </w:r>
    </w:p>
    <w:p w:rsidR="00DC5911" w:rsidRPr="004B2EBB" w:rsidRDefault="00DC5911" w:rsidP="00DC5911">
      <w:pPr>
        <w:autoSpaceDE w:val="0"/>
        <w:spacing w:line="276" w:lineRule="auto"/>
        <w:rPr>
          <w:rFonts w:asciiTheme="minorHAnsi" w:eastAsia="Arial" w:hAnsiTheme="minorHAnsi" w:cstheme="minorHAnsi"/>
          <w:b/>
          <w:bCs/>
          <w:sz w:val="22"/>
          <w:szCs w:val="22"/>
        </w:rPr>
      </w:pPr>
      <w:r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proofErr w:type="spellStart"/>
      <w:r w:rsidRPr="004B2EBB">
        <w:rPr>
          <w:rFonts w:asciiTheme="minorHAnsi" w:eastAsia="Arial" w:hAnsiTheme="minorHAnsi" w:cstheme="minorHAnsi"/>
          <w:b/>
          <w:bCs/>
          <w:sz w:val="22"/>
          <w:szCs w:val="22"/>
        </w:rPr>
        <w:t>Αριθμ</w:t>
      </w:r>
      <w:proofErr w:type="spellEnd"/>
      <w:r w:rsidRPr="004B2EBB">
        <w:rPr>
          <w:rFonts w:asciiTheme="minorHAnsi" w:eastAsia="Arial" w:hAnsiTheme="minorHAnsi" w:cstheme="minorHAnsi"/>
          <w:b/>
          <w:bCs/>
          <w:sz w:val="22"/>
          <w:szCs w:val="22"/>
        </w:rPr>
        <w:t xml:space="preserve">. </w:t>
      </w:r>
      <w:proofErr w:type="spellStart"/>
      <w:r w:rsidRPr="004B2EBB">
        <w:rPr>
          <w:rFonts w:asciiTheme="minorHAnsi" w:eastAsia="Arial" w:hAnsiTheme="minorHAnsi" w:cstheme="minorHAnsi"/>
          <w:b/>
          <w:bCs/>
          <w:sz w:val="22"/>
          <w:szCs w:val="22"/>
        </w:rPr>
        <w:t>Πρωτ</w:t>
      </w:r>
      <w:proofErr w:type="spellEnd"/>
      <w:r w:rsidRPr="004B2EBB">
        <w:rPr>
          <w:rFonts w:asciiTheme="minorHAnsi" w:eastAsia="Arial" w:hAnsiTheme="minorHAnsi" w:cstheme="minorHAnsi"/>
          <w:b/>
          <w:bCs/>
          <w:sz w:val="22"/>
          <w:szCs w:val="22"/>
        </w:rPr>
        <w:t xml:space="preserve">.:  </w:t>
      </w:r>
      <w:r w:rsidR="00E223C0">
        <w:rPr>
          <w:rFonts w:asciiTheme="minorHAnsi" w:eastAsia="Arial" w:hAnsiTheme="minorHAnsi" w:cstheme="minorHAnsi"/>
          <w:b/>
          <w:bCs/>
          <w:sz w:val="22"/>
          <w:szCs w:val="22"/>
        </w:rPr>
        <w:t>22932</w:t>
      </w:r>
    </w:p>
    <w:p w:rsidR="00DC5911" w:rsidRPr="00C23537" w:rsidRDefault="00DC5911" w:rsidP="00DC5911">
      <w:pPr>
        <w:autoSpaceDE w:val="0"/>
        <w:rPr>
          <w:rFonts w:ascii="Arial" w:hAnsi="Arial" w:cs="Arial"/>
          <w:sz w:val="22"/>
          <w:szCs w:val="22"/>
        </w:rPr>
      </w:pPr>
      <w:r w:rsidRPr="00C23537">
        <w:rPr>
          <w:rFonts w:ascii="Arial" w:eastAsia="Arial" w:hAnsi="Arial" w:cs="Arial"/>
          <w:b/>
          <w:bCs/>
          <w:sz w:val="22"/>
          <w:szCs w:val="22"/>
        </w:rPr>
        <w:t xml:space="preserve">                                                                                              </w:t>
      </w:r>
    </w:p>
    <w:p w:rsidR="00DC5911" w:rsidRPr="00C23537" w:rsidRDefault="00DC5911" w:rsidP="00DC5911">
      <w:pPr>
        <w:pStyle w:val="a9"/>
        <w:tabs>
          <w:tab w:val="clear" w:pos="4153"/>
          <w:tab w:val="clear" w:pos="8306"/>
          <w:tab w:val="left" w:pos="4140"/>
        </w:tabs>
        <w:jc w:val="center"/>
        <w:rPr>
          <w:rFonts w:ascii="Arial" w:hAnsi="Arial" w:cs="Arial"/>
          <w:b/>
          <w:sz w:val="22"/>
          <w:szCs w:val="22"/>
        </w:rPr>
      </w:pPr>
    </w:p>
    <w:p w:rsidR="00DC5911" w:rsidRPr="006760EA" w:rsidRDefault="00DC5911" w:rsidP="00DC5911">
      <w:pPr>
        <w:pStyle w:val="a9"/>
        <w:tabs>
          <w:tab w:val="clear" w:pos="4153"/>
          <w:tab w:val="clear" w:pos="8306"/>
          <w:tab w:val="left" w:pos="4140"/>
        </w:tabs>
        <w:jc w:val="center"/>
        <w:rPr>
          <w:rFonts w:asciiTheme="minorHAnsi" w:hAnsiTheme="minorHAnsi" w:cstheme="minorHAnsi"/>
          <w:b/>
          <w:sz w:val="22"/>
          <w:szCs w:val="22"/>
        </w:rPr>
      </w:pPr>
      <w:r w:rsidRPr="006760EA">
        <w:rPr>
          <w:rFonts w:asciiTheme="minorHAnsi" w:hAnsiTheme="minorHAnsi" w:cstheme="minorHAnsi"/>
          <w:b/>
          <w:sz w:val="22"/>
          <w:szCs w:val="22"/>
        </w:rPr>
        <w:t>ΑΠΟΣΠΑΣΜΑ</w:t>
      </w:r>
    </w:p>
    <w:p w:rsidR="00DC5911" w:rsidRPr="006760EA" w:rsidRDefault="00DC5911" w:rsidP="00DC5911">
      <w:pPr>
        <w:jc w:val="center"/>
        <w:rPr>
          <w:rFonts w:asciiTheme="minorHAnsi" w:hAnsiTheme="minorHAnsi" w:cstheme="minorHAnsi"/>
          <w:b/>
          <w:sz w:val="22"/>
          <w:szCs w:val="22"/>
        </w:rPr>
      </w:pPr>
      <w:r w:rsidRPr="006760EA">
        <w:rPr>
          <w:rFonts w:asciiTheme="minorHAnsi" w:hAnsiTheme="minorHAnsi" w:cstheme="minorHAnsi"/>
          <w:b/>
          <w:sz w:val="22"/>
          <w:szCs w:val="22"/>
        </w:rPr>
        <w:t xml:space="preserve">Από το πρακτικό της </w:t>
      </w:r>
      <w:proofErr w:type="spellStart"/>
      <w:r w:rsidRPr="006760EA">
        <w:rPr>
          <w:rFonts w:asciiTheme="minorHAnsi" w:hAnsiTheme="minorHAnsi" w:cstheme="minorHAnsi"/>
          <w:b/>
          <w:sz w:val="22"/>
          <w:szCs w:val="22"/>
        </w:rPr>
        <w:t>αριθμ</w:t>
      </w:r>
      <w:proofErr w:type="spellEnd"/>
      <w:r w:rsidRPr="006760EA">
        <w:rPr>
          <w:rFonts w:asciiTheme="minorHAnsi" w:hAnsiTheme="minorHAnsi" w:cstheme="minorHAnsi"/>
          <w:b/>
          <w:sz w:val="22"/>
          <w:szCs w:val="22"/>
        </w:rPr>
        <w:t xml:space="preserve">. </w:t>
      </w:r>
      <w:r w:rsidR="00B375E6" w:rsidRPr="006760EA">
        <w:rPr>
          <w:rFonts w:asciiTheme="minorHAnsi" w:hAnsiTheme="minorHAnsi" w:cstheme="minorHAnsi"/>
          <w:b/>
          <w:sz w:val="22"/>
          <w:szCs w:val="22"/>
        </w:rPr>
        <w:t>40</w:t>
      </w:r>
      <w:r w:rsidRPr="006760EA">
        <w:rPr>
          <w:rFonts w:asciiTheme="minorHAnsi" w:hAnsiTheme="minorHAnsi" w:cstheme="minorHAnsi"/>
          <w:b/>
          <w:sz w:val="22"/>
          <w:szCs w:val="22"/>
          <w:vertAlign w:val="superscript"/>
        </w:rPr>
        <w:t>ης</w:t>
      </w:r>
      <w:r w:rsidRPr="006760EA">
        <w:rPr>
          <w:rFonts w:asciiTheme="minorHAnsi" w:hAnsiTheme="minorHAnsi" w:cstheme="minorHAnsi"/>
          <w:b/>
          <w:sz w:val="22"/>
          <w:szCs w:val="22"/>
        </w:rPr>
        <w:t xml:space="preserve">  /2025  Τακτικής  Συνεδρίασης</w:t>
      </w:r>
    </w:p>
    <w:p w:rsidR="00DC5911" w:rsidRPr="006760EA" w:rsidRDefault="00DC5911" w:rsidP="00DC5911">
      <w:pPr>
        <w:rPr>
          <w:rFonts w:asciiTheme="minorHAnsi" w:hAnsiTheme="minorHAnsi" w:cstheme="minorHAnsi"/>
          <w:b/>
          <w:sz w:val="22"/>
          <w:szCs w:val="22"/>
        </w:rPr>
      </w:pPr>
      <w:r w:rsidRPr="006760EA">
        <w:rPr>
          <w:rFonts w:asciiTheme="minorHAnsi" w:eastAsia="Arial" w:hAnsiTheme="minorHAnsi" w:cstheme="minorHAnsi"/>
          <w:b/>
          <w:sz w:val="22"/>
          <w:szCs w:val="22"/>
        </w:rPr>
        <w:t xml:space="preserve">                                              </w:t>
      </w:r>
      <w:r w:rsidRPr="006760EA">
        <w:rPr>
          <w:rFonts w:asciiTheme="minorHAnsi" w:hAnsiTheme="minorHAnsi" w:cstheme="minorHAnsi"/>
          <w:b/>
          <w:sz w:val="22"/>
          <w:szCs w:val="22"/>
        </w:rPr>
        <w:t xml:space="preserve">της  Δημοτικής  Επιτροπής  Δήμου </w:t>
      </w:r>
      <w:proofErr w:type="spellStart"/>
      <w:r w:rsidRPr="006760EA">
        <w:rPr>
          <w:rFonts w:asciiTheme="minorHAnsi" w:hAnsiTheme="minorHAnsi" w:cstheme="minorHAnsi"/>
          <w:b/>
          <w:sz w:val="22"/>
          <w:szCs w:val="22"/>
        </w:rPr>
        <w:t>Λεβαδέων</w:t>
      </w:r>
      <w:proofErr w:type="spellEnd"/>
    </w:p>
    <w:p w:rsidR="00DC5911" w:rsidRPr="006760EA" w:rsidRDefault="00DC5911" w:rsidP="00DC5911">
      <w:pPr>
        <w:jc w:val="center"/>
        <w:rPr>
          <w:rFonts w:asciiTheme="minorHAnsi" w:hAnsiTheme="minorHAnsi" w:cstheme="minorHAnsi"/>
          <w:b/>
          <w:sz w:val="22"/>
          <w:szCs w:val="22"/>
        </w:rPr>
      </w:pPr>
      <w:r w:rsidRPr="006760EA">
        <w:rPr>
          <w:rFonts w:asciiTheme="minorHAnsi" w:hAnsiTheme="minorHAnsi" w:cstheme="minorHAnsi"/>
          <w:b/>
          <w:sz w:val="22"/>
          <w:szCs w:val="22"/>
        </w:rPr>
        <w:t xml:space="preserve">Αριθμός απόφασης : </w:t>
      </w:r>
      <w:r w:rsidR="00B375E6" w:rsidRPr="006760EA">
        <w:rPr>
          <w:rFonts w:asciiTheme="minorHAnsi" w:hAnsiTheme="minorHAnsi" w:cstheme="minorHAnsi"/>
          <w:b/>
          <w:sz w:val="22"/>
          <w:szCs w:val="22"/>
        </w:rPr>
        <w:t>40</w:t>
      </w:r>
      <w:r w:rsidR="003213C6">
        <w:rPr>
          <w:rFonts w:asciiTheme="minorHAnsi" w:hAnsiTheme="minorHAnsi" w:cstheme="minorHAnsi"/>
          <w:b/>
          <w:sz w:val="22"/>
          <w:szCs w:val="22"/>
        </w:rPr>
        <w:t>5</w:t>
      </w:r>
    </w:p>
    <w:p w:rsidR="00DC5911" w:rsidRPr="006760EA" w:rsidRDefault="00DC5911" w:rsidP="00DC5911">
      <w:pPr>
        <w:jc w:val="center"/>
        <w:rPr>
          <w:rFonts w:asciiTheme="minorHAnsi" w:hAnsiTheme="minorHAnsi" w:cstheme="minorHAnsi"/>
          <w:b/>
          <w:sz w:val="22"/>
          <w:szCs w:val="22"/>
        </w:rPr>
      </w:pPr>
    </w:p>
    <w:p w:rsidR="00DC5911" w:rsidRPr="006760EA" w:rsidRDefault="00DC5911" w:rsidP="00DC5911">
      <w:pPr>
        <w:pStyle w:val="9"/>
        <w:rPr>
          <w:rFonts w:asciiTheme="minorHAnsi" w:hAnsiTheme="minorHAnsi" w:cstheme="minorHAnsi"/>
          <w:b/>
          <w:sz w:val="22"/>
          <w:szCs w:val="22"/>
        </w:rPr>
      </w:pPr>
      <w:proofErr w:type="spellStart"/>
      <w:r w:rsidRPr="006760EA">
        <w:rPr>
          <w:rFonts w:asciiTheme="minorHAnsi" w:hAnsiTheme="minorHAnsi" w:cstheme="minorHAnsi"/>
          <w:b/>
          <w:sz w:val="22"/>
          <w:szCs w:val="22"/>
        </w:rPr>
        <w:t>΄Εκθεση</w:t>
      </w:r>
      <w:proofErr w:type="spellEnd"/>
      <w:r w:rsidRPr="006760EA">
        <w:rPr>
          <w:rFonts w:asciiTheme="minorHAnsi" w:hAnsiTheme="minorHAnsi" w:cstheme="minorHAnsi"/>
          <w:b/>
          <w:sz w:val="22"/>
          <w:szCs w:val="22"/>
        </w:rPr>
        <w:t xml:space="preserve"> αποτελεσμάτων εκτέλεσης προϋπολογισμού  </w:t>
      </w:r>
      <w:proofErr w:type="spellStart"/>
      <w:r w:rsidR="00B375E6" w:rsidRPr="006760EA">
        <w:rPr>
          <w:rFonts w:asciiTheme="minorHAnsi" w:hAnsiTheme="minorHAnsi" w:cstheme="minorHAnsi"/>
          <w:b/>
          <w:sz w:val="22"/>
          <w:szCs w:val="22"/>
        </w:rPr>
        <w:t>Γ</w:t>
      </w:r>
      <w:r w:rsidRPr="006760EA">
        <w:rPr>
          <w:rFonts w:asciiTheme="minorHAnsi" w:hAnsiTheme="minorHAnsi" w:cstheme="minorHAnsi"/>
          <w:b/>
          <w:sz w:val="22"/>
          <w:szCs w:val="22"/>
        </w:rPr>
        <w:t>΄τριμήνου</w:t>
      </w:r>
      <w:proofErr w:type="spellEnd"/>
      <w:r w:rsidRPr="006760EA">
        <w:rPr>
          <w:rFonts w:asciiTheme="minorHAnsi" w:hAnsiTheme="minorHAnsi" w:cstheme="minorHAnsi"/>
          <w:b/>
          <w:sz w:val="22"/>
          <w:szCs w:val="22"/>
        </w:rPr>
        <w:t xml:space="preserve"> 2025.</w:t>
      </w:r>
    </w:p>
    <w:p w:rsidR="00DC5911" w:rsidRPr="006760EA" w:rsidRDefault="00DC5911" w:rsidP="00DC5911">
      <w:pPr>
        <w:pStyle w:val="a8"/>
        <w:ind w:left="1004"/>
        <w:contextualSpacing w:val="0"/>
        <w:jc w:val="both"/>
        <w:rPr>
          <w:rFonts w:asciiTheme="minorHAnsi" w:hAnsiTheme="minorHAnsi" w:cstheme="minorHAnsi"/>
          <w:b/>
          <w:color w:val="000000"/>
          <w:sz w:val="22"/>
          <w:szCs w:val="22"/>
        </w:rPr>
      </w:pPr>
    </w:p>
    <w:p w:rsidR="00DC5911" w:rsidRPr="006760EA" w:rsidRDefault="00DC5911" w:rsidP="00DC5911">
      <w:pPr>
        <w:pStyle w:val="af9"/>
        <w:tabs>
          <w:tab w:val="left" w:pos="6237"/>
        </w:tabs>
        <w:rPr>
          <w:rFonts w:asciiTheme="minorHAnsi" w:eastAsia="SimSun" w:hAnsiTheme="minorHAnsi" w:cstheme="minorHAnsi"/>
          <w:b/>
          <w:spacing w:val="2"/>
          <w:sz w:val="22"/>
          <w:szCs w:val="22"/>
          <w:lang w:bidi="hi-IN"/>
        </w:rPr>
      </w:pPr>
    </w:p>
    <w:p w:rsidR="00DC5911" w:rsidRPr="006760EA" w:rsidRDefault="00DC5911" w:rsidP="00DC5911">
      <w:pPr>
        <w:pStyle w:val="a5"/>
        <w:spacing w:line="288" w:lineRule="auto"/>
        <w:rPr>
          <w:rFonts w:asciiTheme="minorHAnsi" w:hAnsiTheme="minorHAnsi" w:cstheme="minorHAnsi"/>
          <w:szCs w:val="22"/>
        </w:rPr>
      </w:pPr>
      <w:r w:rsidRPr="006760EA">
        <w:rPr>
          <w:rFonts w:asciiTheme="minorHAnsi" w:hAnsiTheme="minorHAnsi" w:cstheme="minorHAnsi"/>
          <w:szCs w:val="22"/>
        </w:rPr>
        <w:t xml:space="preserve">     Στη Λιβαδειά σήμερα   1</w:t>
      </w:r>
      <w:r w:rsidR="00B375E6" w:rsidRPr="006760EA">
        <w:rPr>
          <w:rFonts w:asciiTheme="minorHAnsi" w:hAnsiTheme="minorHAnsi" w:cstheme="minorHAnsi"/>
          <w:szCs w:val="22"/>
        </w:rPr>
        <w:t>0</w:t>
      </w:r>
      <w:r w:rsidRPr="006760EA">
        <w:rPr>
          <w:rFonts w:asciiTheme="minorHAnsi" w:hAnsiTheme="minorHAnsi" w:cstheme="minorHAnsi"/>
          <w:szCs w:val="22"/>
          <w:vertAlign w:val="superscript"/>
        </w:rPr>
        <w:t>η</w:t>
      </w:r>
      <w:r w:rsidRPr="006760EA">
        <w:rPr>
          <w:rFonts w:asciiTheme="minorHAnsi" w:hAnsiTheme="minorHAnsi" w:cstheme="minorHAnsi"/>
          <w:szCs w:val="22"/>
        </w:rPr>
        <w:t xml:space="preserve">   </w:t>
      </w:r>
      <w:r w:rsidR="00B375E6" w:rsidRPr="006760EA">
        <w:rPr>
          <w:rFonts w:asciiTheme="minorHAnsi" w:hAnsiTheme="minorHAnsi" w:cstheme="minorHAnsi"/>
          <w:szCs w:val="22"/>
        </w:rPr>
        <w:t>Νοεμβρίου</w:t>
      </w:r>
      <w:r w:rsidRPr="006760EA">
        <w:rPr>
          <w:rFonts w:asciiTheme="minorHAnsi" w:hAnsiTheme="minorHAnsi" w:cstheme="minorHAnsi"/>
          <w:szCs w:val="22"/>
        </w:rPr>
        <w:t xml:space="preserve">   2025  ημέρα  Δευτέρα και  ώρα 13.45  και στην αίθουσα συνεδριάσεων του Δημοτικού Συμβουλίου  </w:t>
      </w:r>
      <w:proofErr w:type="spellStart"/>
      <w:r w:rsidRPr="006760EA">
        <w:rPr>
          <w:rFonts w:asciiTheme="minorHAnsi" w:hAnsiTheme="minorHAnsi" w:cstheme="minorHAnsi"/>
          <w:szCs w:val="22"/>
        </w:rPr>
        <w:t>Λεβαδέων</w:t>
      </w:r>
      <w:proofErr w:type="spellEnd"/>
      <w:r w:rsidRPr="006760EA">
        <w:rPr>
          <w:rFonts w:asciiTheme="minorHAnsi" w:hAnsiTheme="minorHAnsi" w:cstheme="minorHAnsi"/>
          <w:szCs w:val="22"/>
        </w:rPr>
        <w:t xml:space="preserve"> στο Παλαιό Δημαρχείο – Πλατεία Εθνικής Αντίστασης συνεδρίασε η Δημοτική Επιτροπή Δήμου </w:t>
      </w:r>
      <w:proofErr w:type="spellStart"/>
      <w:r w:rsidRPr="006760EA">
        <w:rPr>
          <w:rFonts w:asciiTheme="minorHAnsi" w:hAnsiTheme="minorHAnsi" w:cstheme="minorHAnsi"/>
          <w:szCs w:val="22"/>
        </w:rPr>
        <w:t>Λεβαδέων</w:t>
      </w:r>
      <w:proofErr w:type="spellEnd"/>
      <w:r w:rsidRPr="006760EA">
        <w:rPr>
          <w:rFonts w:asciiTheme="minorHAnsi" w:hAnsiTheme="minorHAnsi" w:cstheme="minorHAnsi"/>
          <w:szCs w:val="22"/>
        </w:rPr>
        <w:t xml:space="preserve"> μετά την από  </w:t>
      </w:r>
      <w:r w:rsidR="00B375E6" w:rsidRPr="006760EA">
        <w:rPr>
          <w:rFonts w:asciiTheme="minorHAnsi" w:hAnsiTheme="minorHAnsi" w:cstheme="minorHAnsi"/>
          <w:szCs w:val="22"/>
        </w:rPr>
        <w:t>22721</w:t>
      </w:r>
      <w:r w:rsidRPr="006760EA">
        <w:rPr>
          <w:rFonts w:asciiTheme="minorHAnsi" w:hAnsiTheme="minorHAnsi" w:cstheme="minorHAnsi"/>
          <w:szCs w:val="22"/>
        </w:rPr>
        <w:t>/</w:t>
      </w:r>
      <w:r w:rsidR="00B375E6" w:rsidRPr="006760EA">
        <w:rPr>
          <w:rFonts w:asciiTheme="minorHAnsi" w:hAnsiTheme="minorHAnsi" w:cstheme="minorHAnsi"/>
          <w:szCs w:val="22"/>
        </w:rPr>
        <w:t>06</w:t>
      </w:r>
      <w:r w:rsidRPr="006760EA">
        <w:rPr>
          <w:rFonts w:asciiTheme="minorHAnsi" w:hAnsiTheme="minorHAnsi" w:cstheme="minorHAnsi"/>
          <w:szCs w:val="22"/>
        </w:rPr>
        <w:t>-</w:t>
      </w:r>
      <w:r w:rsidR="00B375E6" w:rsidRPr="006760EA">
        <w:rPr>
          <w:rFonts w:asciiTheme="minorHAnsi" w:hAnsiTheme="minorHAnsi" w:cstheme="minorHAnsi"/>
          <w:szCs w:val="22"/>
        </w:rPr>
        <w:t>11</w:t>
      </w:r>
      <w:r w:rsidRPr="006760EA">
        <w:rPr>
          <w:rFonts w:asciiTheme="minorHAnsi" w:hAnsiTheme="minorHAnsi" w:cstheme="minorHAnsi"/>
          <w:szCs w:val="22"/>
        </w:rPr>
        <w:t xml:space="preserve">-2025 έγγραφη πρόσκληση του  Προέδρου της (Δημάρχου </w:t>
      </w:r>
      <w:proofErr w:type="spellStart"/>
      <w:r w:rsidRPr="006760EA">
        <w:rPr>
          <w:rFonts w:asciiTheme="minorHAnsi" w:hAnsiTheme="minorHAnsi" w:cstheme="minorHAnsi"/>
          <w:szCs w:val="22"/>
        </w:rPr>
        <w:t>Λεβαδέων</w:t>
      </w:r>
      <w:proofErr w:type="spellEnd"/>
      <w:r w:rsidRPr="006760EA">
        <w:rPr>
          <w:rFonts w:asciiTheme="minorHAnsi" w:hAnsiTheme="minorHAnsi" w:cstheme="minorHAnsi"/>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6760EA">
        <w:rPr>
          <w:rFonts w:asciiTheme="minorHAnsi" w:hAnsiTheme="minorHAnsi" w:cstheme="minorHAnsi"/>
          <w:szCs w:val="22"/>
          <w:vertAlign w:val="superscript"/>
        </w:rPr>
        <w:t>Α</w:t>
      </w:r>
      <w:r w:rsidRPr="006760EA">
        <w:rPr>
          <w:rFonts w:asciiTheme="minorHAnsi" w:hAnsiTheme="minorHAnsi" w:cstheme="minorHAnsi"/>
          <w:szCs w:val="22"/>
        </w:rPr>
        <w:t xml:space="preserve"> παρ. 1 του Ν. 3852/2010 όπως αυτό τροποποιήθηκε από το άρθρο 9 του Ν. 5056/2023 - Αρμοδιότητες Δημοτικής Επιτροπής</w:t>
      </w:r>
    </w:p>
    <w:p w:rsidR="00DC5911" w:rsidRPr="006760EA" w:rsidRDefault="00DC5911" w:rsidP="00DC5911">
      <w:pPr>
        <w:pStyle w:val="31"/>
        <w:ind w:left="0" w:firstLine="0"/>
        <w:jc w:val="both"/>
        <w:rPr>
          <w:rFonts w:asciiTheme="minorHAnsi" w:hAnsiTheme="minorHAnsi" w:cstheme="minorHAnsi"/>
          <w:sz w:val="22"/>
          <w:szCs w:val="22"/>
        </w:rPr>
      </w:pPr>
      <w:r w:rsidRPr="006760EA">
        <w:rPr>
          <w:rFonts w:asciiTheme="minorHAnsi" w:hAnsiTheme="minorHAnsi" w:cstheme="minorHAnsi"/>
          <w:sz w:val="22"/>
          <w:szCs w:val="22"/>
        </w:rPr>
        <w:t xml:space="preserve">   Αφού  διαπιστώθηκε ότι υπάρχει νόμιμη απαρτία, επειδή σε σύνολο 7 (επτά)  μελών ήταν</w:t>
      </w:r>
      <w:r w:rsidR="00C23537" w:rsidRPr="006760EA">
        <w:rPr>
          <w:rFonts w:asciiTheme="minorHAnsi" w:hAnsiTheme="minorHAnsi" w:cstheme="minorHAnsi"/>
          <w:sz w:val="22"/>
          <w:szCs w:val="22"/>
        </w:rPr>
        <w:t xml:space="preserve"> </w:t>
      </w:r>
      <w:r w:rsidRPr="006760EA">
        <w:rPr>
          <w:rFonts w:asciiTheme="minorHAnsi" w:hAnsiTheme="minorHAnsi" w:cstheme="minorHAnsi"/>
          <w:sz w:val="22"/>
          <w:szCs w:val="22"/>
        </w:rPr>
        <w:t xml:space="preserve"> παρόντα  </w:t>
      </w:r>
      <w:r w:rsidR="001B7A25">
        <w:rPr>
          <w:rFonts w:asciiTheme="minorHAnsi" w:hAnsiTheme="minorHAnsi" w:cstheme="minorHAnsi"/>
          <w:sz w:val="22"/>
          <w:szCs w:val="22"/>
        </w:rPr>
        <w:t>5</w:t>
      </w:r>
      <w:r w:rsidR="00A804B1" w:rsidRPr="006760EA">
        <w:rPr>
          <w:rFonts w:asciiTheme="minorHAnsi" w:hAnsiTheme="minorHAnsi" w:cstheme="minorHAnsi"/>
          <w:sz w:val="22"/>
          <w:szCs w:val="22"/>
        </w:rPr>
        <w:t xml:space="preserve"> </w:t>
      </w:r>
      <w:r w:rsidRPr="006760EA">
        <w:rPr>
          <w:rFonts w:asciiTheme="minorHAnsi" w:hAnsiTheme="minorHAnsi" w:cstheme="minorHAnsi"/>
          <w:sz w:val="22"/>
          <w:szCs w:val="22"/>
        </w:rPr>
        <w:t xml:space="preserve"> (</w:t>
      </w:r>
      <w:r w:rsidR="001B7A25">
        <w:rPr>
          <w:rFonts w:asciiTheme="minorHAnsi" w:hAnsiTheme="minorHAnsi" w:cstheme="minorHAnsi"/>
          <w:sz w:val="22"/>
          <w:szCs w:val="22"/>
        </w:rPr>
        <w:t>πέντε</w:t>
      </w:r>
      <w:r w:rsidRPr="006760EA">
        <w:rPr>
          <w:rFonts w:asciiTheme="minorHAnsi" w:hAnsiTheme="minorHAnsi" w:cstheme="minorHAnsi"/>
          <w:sz w:val="22"/>
          <w:szCs w:val="22"/>
        </w:rPr>
        <w:t>)  , ήτοι:</w:t>
      </w:r>
    </w:p>
    <w:p w:rsidR="00DC5911" w:rsidRPr="006760EA" w:rsidRDefault="00DC5911" w:rsidP="00DC5911">
      <w:pPr>
        <w:pStyle w:val="31"/>
        <w:ind w:left="284"/>
        <w:jc w:val="both"/>
        <w:rPr>
          <w:rFonts w:asciiTheme="minorHAnsi" w:hAnsiTheme="minorHAnsi" w:cstheme="minorHAnsi"/>
          <w:sz w:val="22"/>
          <w:szCs w:val="22"/>
        </w:rPr>
      </w:pPr>
    </w:p>
    <w:p w:rsidR="00DC5911" w:rsidRPr="006760EA" w:rsidRDefault="00DC5911" w:rsidP="00DC5911">
      <w:pPr>
        <w:jc w:val="both"/>
        <w:rPr>
          <w:rFonts w:asciiTheme="minorHAnsi" w:hAnsiTheme="minorHAnsi" w:cstheme="minorHAnsi"/>
          <w:b/>
          <w:sz w:val="22"/>
          <w:szCs w:val="22"/>
        </w:rPr>
      </w:pPr>
      <w:r w:rsidRPr="006760EA">
        <w:rPr>
          <w:rFonts w:asciiTheme="minorHAnsi" w:hAnsiTheme="minorHAnsi" w:cstheme="minorHAnsi"/>
          <w:sz w:val="22"/>
          <w:szCs w:val="22"/>
        </w:rPr>
        <w:t xml:space="preserve">                 </w:t>
      </w:r>
      <w:r w:rsidRPr="006760EA">
        <w:rPr>
          <w:rFonts w:asciiTheme="minorHAnsi" w:hAnsiTheme="minorHAnsi" w:cstheme="minorHAnsi"/>
          <w:b/>
          <w:sz w:val="22"/>
          <w:szCs w:val="22"/>
        </w:rPr>
        <w:t xml:space="preserve"> ΠΑΡΟΝΤΕΣ                                                                        </w:t>
      </w:r>
      <w:r w:rsidR="00C23537" w:rsidRPr="006760EA">
        <w:rPr>
          <w:rFonts w:asciiTheme="minorHAnsi" w:hAnsiTheme="minorHAnsi" w:cstheme="minorHAnsi"/>
          <w:b/>
          <w:sz w:val="22"/>
          <w:szCs w:val="22"/>
        </w:rPr>
        <w:t>ΑΠΟΝΤΕΣ</w:t>
      </w:r>
      <w:r w:rsidRPr="006760EA">
        <w:rPr>
          <w:rFonts w:asciiTheme="minorHAnsi" w:hAnsiTheme="minorHAnsi" w:cstheme="minorHAnsi"/>
          <w:b/>
          <w:sz w:val="22"/>
          <w:szCs w:val="22"/>
        </w:rPr>
        <w:t xml:space="preserve">                 </w:t>
      </w:r>
      <w:r w:rsidR="00C23537" w:rsidRPr="006760EA">
        <w:rPr>
          <w:rFonts w:asciiTheme="minorHAnsi" w:hAnsiTheme="minorHAnsi" w:cstheme="minorHAnsi"/>
          <w:b/>
          <w:sz w:val="22"/>
          <w:szCs w:val="22"/>
        </w:rPr>
        <w:t xml:space="preserve">              </w:t>
      </w:r>
    </w:p>
    <w:p w:rsidR="001B7A25" w:rsidRPr="006760EA" w:rsidRDefault="00DC5911" w:rsidP="001B7A25">
      <w:pPr>
        <w:tabs>
          <w:tab w:val="left" w:pos="360"/>
          <w:tab w:val="left" w:pos="6237"/>
        </w:tabs>
        <w:rPr>
          <w:rFonts w:asciiTheme="minorHAnsi" w:hAnsiTheme="minorHAnsi" w:cstheme="minorHAnsi"/>
          <w:sz w:val="22"/>
          <w:szCs w:val="22"/>
        </w:rPr>
      </w:pPr>
      <w:r w:rsidRPr="006760EA">
        <w:rPr>
          <w:rFonts w:asciiTheme="minorHAnsi" w:hAnsiTheme="minorHAnsi" w:cstheme="minorHAnsi"/>
          <w:color w:val="000000"/>
          <w:sz w:val="22"/>
          <w:szCs w:val="22"/>
        </w:rPr>
        <w:t xml:space="preserve">     </w:t>
      </w:r>
      <w:r w:rsidRPr="006760EA">
        <w:rPr>
          <w:rFonts w:asciiTheme="minorHAnsi" w:hAnsiTheme="minorHAnsi" w:cstheme="minorHAnsi"/>
          <w:sz w:val="22"/>
          <w:szCs w:val="22"/>
        </w:rPr>
        <w:t xml:space="preserve"> 1. </w:t>
      </w:r>
      <w:proofErr w:type="spellStart"/>
      <w:r w:rsidR="001B7A25" w:rsidRPr="006760EA">
        <w:rPr>
          <w:rFonts w:asciiTheme="minorHAnsi" w:hAnsiTheme="minorHAnsi" w:cstheme="minorHAnsi"/>
          <w:sz w:val="22"/>
          <w:szCs w:val="22"/>
        </w:rPr>
        <w:t>Τουμαράς</w:t>
      </w:r>
      <w:proofErr w:type="spellEnd"/>
      <w:r w:rsidR="001B7A25" w:rsidRPr="006760EA">
        <w:rPr>
          <w:rFonts w:asciiTheme="minorHAnsi" w:hAnsiTheme="minorHAnsi" w:cstheme="minorHAnsi"/>
          <w:sz w:val="22"/>
          <w:szCs w:val="22"/>
        </w:rPr>
        <w:t xml:space="preserve"> Βασίλειος                   </w:t>
      </w:r>
      <w:r w:rsidR="001B7A25">
        <w:rPr>
          <w:rFonts w:asciiTheme="minorHAnsi" w:hAnsiTheme="minorHAnsi" w:cstheme="minorHAnsi"/>
          <w:sz w:val="22"/>
          <w:szCs w:val="22"/>
        </w:rPr>
        <w:t xml:space="preserve">                           1.Καραμάνης  Δημήτριος - Πρόεδρος</w:t>
      </w:r>
      <w:r w:rsidR="001B7A25" w:rsidRPr="006760EA">
        <w:rPr>
          <w:rFonts w:asciiTheme="minorHAnsi" w:hAnsiTheme="minorHAnsi" w:cstheme="minorHAnsi"/>
          <w:sz w:val="22"/>
          <w:szCs w:val="22"/>
        </w:rPr>
        <w:t xml:space="preserve">   </w:t>
      </w:r>
      <w:r w:rsidR="001B7A25">
        <w:rPr>
          <w:rFonts w:asciiTheme="minorHAnsi" w:hAnsiTheme="minorHAnsi" w:cstheme="minorHAnsi"/>
          <w:sz w:val="22"/>
          <w:szCs w:val="22"/>
        </w:rPr>
        <w:t xml:space="preserve">                                                                                                                                                                   </w:t>
      </w:r>
    </w:p>
    <w:p w:rsidR="00DC5911" w:rsidRPr="006760EA" w:rsidRDefault="00DC5911" w:rsidP="00DC5911">
      <w:pPr>
        <w:tabs>
          <w:tab w:val="left" w:pos="360"/>
          <w:tab w:val="left" w:pos="6237"/>
        </w:tabs>
        <w:rPr>
          <w:rFonts w:asciiTheme="minorHAnsi" w:hAnsiTheme="minorHAnsi" w:cstheme="minorHAnsi"/>
          <w:sz w:val="22"/>
          <w:szCs w:val="22"/>
        </w:rPr>
      </w:pPr>
      <w:r w:rsidRPr="006760EA">
        <w:rPr>
          <w:rFonts w:asciiTheme="minorHAnsi" w:hAnsiTheme="minorHAnsi" w:cstheme="minorHAnsi"/>
          <w:sz w:val="22"/>
          <w:szCs w:val="22"/>
        </w:rPr>
        <w:t xml:space="preserve">    </w:t>
      </w:r>
      <w:r w:rsidR="001B7A25">
        <w:rPr>
          <w:rFonts w:asciiTheme="minorHAnsi" w:hAnsiTheme="minorHAnsi" w:cstheme="minorHAnsi"/>
          <w:sz w:val="22"/>
          <w:szCs w:val="22"/>
        </w:rPr>
        <w:t xml:space="preserve">  2. </w:t>
      </w:r>
      <w:proofErr w:type="spellStart"/>
      <w:r w:rsidR="001B7A25">
        <w:rPr>
          <w:rFonts w:asciiTheme="minorHAnsi" w:hAnsiTheme="minorHAnsi" w:cstheme="minorHAnsi"/>
          <w:sz w:val="22"/>
          <w:szCs w:val="22"/>
        </w:rPr>
        <w:t>Αγνιάδης</w:t>
      </w:r>
      <w:proofErr w:type="spellEnd"/>
      <w:r w:rsidR="001B7A25">
        <w:rPr>
          <w:rFonts w:asciiTheme="minorHAnsi" w:hAnsiTheme="minorHAnsi" w:cstheme="minorHAnsi"/>
          <w:sz w:val="22"/>
          <w:szCs w:val="22"/>
        </w:rPr>
        <w:t xml:space="preserve">  Παναγιώτης</w:t>
      </w:r>
      <w:r w:rsidRPr="006760EA">
        <w:rPr>
          <w:rFonts w:asciiTheme="minorHAnsi" w:hAnsiTheme="minorHAnsi" w:cstheme="minorHAnsi"/>
          <w:sz w:val="22"/>
          <w:szCs w:val="22"/>
        </w:rPr>
        <w:t xml:space="preserve">   </w:t>
      </w:r>
      <w:r w:rsidR="001B7A25">
        <w:rPr>
          <w:rFonts w:asciiTheme="minorHAnsi" w:hAnsiTheme="minorHAnsi" w:cstheme="minorHAnsi"/>
          <w:sz w:val="22"/>
          <w:szCs w:val="22"/>
        </w:rPr>
        <w:t xml:space="preserve">                                       2.Ταγκαλέγκας  Ιωάννης</w:t>
      </w:r>
    </w:p>
    <w:p w:rsidR="00DC5911" w:rsidRPr="006760EA" w:rsidRDefault="00DC5911" w:rsidP="00DC5911">
      <w:pPr>
        <w:tabs>
          <w:tab w:val="left" w:pos="360"/>
          <w:tab w:val="left" w:pos="6237"/>
        </w:tabs>
        <w:rPr>
          <w:rFonts w:asciiTheme="minorHAnsi" w:hAnsiTheme="minorHAnsi" w:cstheme="minorHAnsi"/>
          <w:sz w:val="22"/>
          <w:szCs w:val="22"/>
        </w:rPr>
      </w:pPr>
      <w:r w:rsidRPr="006760EA">
        <w:rPr>
          <w:rFonts w:asciiTheme="minorHAnsi" w:hAnsiTheme="minorHAnsi" w:cstheme="minorHAnsi"/>
          <w:sz w:val="22"/>
          <w:szCs w:val="22"/>
        </w:rPr>
        <w:t xml:space="preserve">      3. </w:t>
      </w:r>
      <w:proofErr w:type="spellStart"/>
      <w:r w:rsidRPr="006760EA">
        <w:rPr>
          <w:rFonts w:asciiTheme="minorHAnsi" w:hAnsiTheme="minorHAnsi" w:cstheme="minorHAnsi"/>
          <w:sz w:val="22"/>
          <w:szCs w:val="22"/>
        </w:rPr>
        <w:t>Καλλιαντάσης</w:t>
      </w:r>
      <w:proofErr w:type="spellEnd"/>
      <w:r w:rsidRPr="006760EA">
        <w:rPr>
          <w:rFonts w:asciiTheme="minorHAnsi" w:hAnsiTheme="minorHAnsi" w:cstheme="minorHAnsi"/>
          <w:sz w:val="22"/>
          <w:szCs w:val="22"/>
        </w:rPr>
        <w:t xml:space="preserve">  Χρήστος                                                          </w:t>
      </w:r>
    </w:p>
    <w:p w:rsidR="00DC5911" w:rsidRPr="006760EA" w:rsidRDefault="00DC5911" w:rsidP="00DC5911">
      <w:pPr>
        <w:tabs>
          <w:tab w:val="left" w:pos="360"/>
          <w:tab w:val="left" w:pos="6237"/>
        </w:tabs>
        <w:rPr>
          <w:rFonts w:asciiTheme="minorHAnsi" w:hAnsiTheme="minorHAnsi" w:cstheme="minorHAnsi"/>
          <w:sz w:val="22"/>
          <w:szCs w:val="22"/>
        </w:rPr>
      </w:pPr>
      <w:r w:rsidRPr="006760EA">
        <w:rPr>
          <w:rFonts w:asciiTheme="minorHAnsi" w:hAnsiTheme="minorHAnsi" w:cstheme="minorHAnsi"/>
          <w:sz w:val="22"/>
          <w:szCs w:val="22"/>
        </w:rPr>
        <w:t xml:space="preserve">      4. </w:t>
      </w:r>
      <w:r w:rsidR="001B7A25" w:rsidRPr="006760EA">
        <w:rPr>
          <w:rFonts w:asciiTheme="minorHAnsi" w:hAnsiTheme="minorHAnsi" w:cstheme="minorHAnsi"/>
          <w:sz w:val="22"/>
          <w:szCs w:val="22"/>
        </w:rPr>
        <w:t xml:space="preserve">Παπαβασιλείου Αικατερίνη  </w:t>
      </w:r>
    </w:p>
    <w:p w:rsidR="00A804B1" w:rsidRPr="006760EA" w:rsidRDefault="00DC5911" w:rsidP="00DC5911">
      <w:pPr>
        <w:tabs>
          <w:tab w:val="left" w:pos="360"/>
          <w:tab w:val="left" w:pos="6237"/>
        </w:tabs>
        <w:rPr>
          <w:rFonts w:asciiTheme="minorHAnsi" w:hAnsiTheme="minorHAnsi" w:cstheme="minorHAnsi"/>
          <w:sz w:val="22"/>
          <w:szCs w:val="22"/>
        </w:rPr>
      </w:pPr>
      <w:r w:rsidRPr="006760EA">
        <w:rPr>
          <w:rFonts w:asciiTheme="minorHAnsi" w:hAnsiTheme="minorHAnsi" w:cstheme="minorHAnsi"/>
          <w:sz w:val="22"/>
          <w:szCs w:val="22"/>
        </w:rPr>
        <w:t xml:space="preserve">      5. </w:t>
      </w:r>
      <w:proofErr w:type="spellStart"/>
      <w:r w:rsidR="001B7A25" w:rsidRPr="006760EA">
        <w:rPr>
          <w:rFonts w:asciiTheme="minorHAnsi" w:hAnsiTheme="minorHAnsi" w:cstheme="minorHAnsi"/>
          <w:sz w:val="22"/>
          <w:szCs w:val="22"/>
        </w:rPr>
        <w:t>Μίχας</w:t>
      </w:r>
      <w:proofErr w:type="spellEnd"/>
      <w:r w:rsidR="001B7A25" w:rsidRPr="006760EA">
        <w:rPr>
          <w:rFonts w:asciiTheme="minorHAnsi" w:hAnsiTheme="minorHAnsi" w:cstheme="minorHAnsi"/>
          <w:sz w:val="22"/>
          <w:szCs w:val="22"/>
        </w:rPr>
        <w:t xml:space="preserve"> Δημήτριος  </w:t>
      </w:r>
      <w:r w:rsidR="001B7A25">
        <w:rPr>
          <w:rFonts w:asciiTheme="minorHAnsi" w:hAnsiTheme="minorHAnsi" w:cstheme="minorHAnsi"/>
          <w:sz w:val="22"/>
          <w:szCs w:val="22"/>
        </w:rPr>
        <w:t>- Αντιπρόεδρος</w:t>
      </w:r>
      <w:r w:rsidR="001B7A25" w:rsidRPr="006760EA">
        <w:rPr>
          <w:rFonts w:asciiTheme="minorHAnsi" w:hAnsiTheme="minorHAnsi" w:cstheme="minorHAnsi"/>
          <w:sz w:val="22"/>
          <w:szCs w:val="22"/>
        </w:rPr>
        <w:t xml:space="preserve">                                               </w:t>
      </w:r>
    </w:p>
    <w:p w:rsidR="00DC5911" w:rsidRPr="006760EA" w:rsidRDefault="001B7A25" w:rsidP="00DC5911">
      <w:pPr>
        <w:tabs>
          <w:tab w:val="left" w:pos="360"/>
          <w:tab w:val="left" w:pos="6237"/>
        </w:tabs>
        <w:rPr>
          <w:rFonts w:asciiTheme="minorHAnsi" w:hAnsiTheme="minorHAnsi" w:cstheme="minorHAnsi"/>
          <w:sz w:val="22"/>
          <w:szCs w:val="22"/>
        </w:rPr>
      </w:pPr>
      <w:r>
        <w:rPr>
          <w:rFonts w:asciiTheme="minorHAnsi" w:hAnsiTheme="minorHAnsi" w:cstheme="minorHAnsi"/>
          <w:sz w:val="22"/>
          <w:szCs w:val="22"/>
        </w:rPr>
        <w:t xml:space="preserve">      </w:t>
      </w:r>
    </w:p>
    <w:p w:rsidR="00DC5911" w:rsidRPr="006760EA" w:rsidRDefault="00DC5911" w:rsidP="00DC5911">
      <w:pPr>
        <w:tabs>
          <w:tab w:val="left" w:pos="360"/>
          <w:tab w:val="left" w:pos="6237"/>
        </w:tabs>
        <w:ind w:right="-335"/>
        <w:rPr>
          <w:rFonts w:asciiTheme="minorHAnsi" w:hAnsiTheme="minorHAnsi" w:cstheme="minorHAnsi"/>
          <w:sz w:val="22"/>
          <w:szCs w:val="22"/>
        </w:rPr>
      </w:pPr>
    </w:p>
    <w:p w:rsidR="00DC5911" w:rsidRPr="006760EA" w:rsidRDefault="00DC5911" w:rsidP="00DC5911">
      <w:pPr>
        <w:pStyle w:val="a5"/>
        <w:spacing w:line="288" w:lineRule="auto"/>
        <w:ind w:left="142"/>
        <w:rPr>
          <w:rFonts w:asciiTheme="minorHAnsi" w:hAnsiTheme="minorHAnsi" w:cstheme="minorHAnsi"/>
          <w:szCs w:val="22"/>
        </w:rPr>
      </w:pPr>
      <w:r w:rsidRPr="006760EA">
        <w:rPr>
          <w:rFonts w:asciiTheme="minorHAnsi" w:hAnsiTheme="minorHAnsi" w:cstheme="minorHAnsi"/>
          <w:szCs w:val="22"/>
        </w:rPr>
        <w:t xml:space="preserve"> </w:t>
      </w:r>
    </w:p>
    <w:p w:rsidR="00DC5911" w:rsidRPr="006760EA" w:rsidRDefault="00DC5911" w:rsidP="00DC5911">
      <w:pPr>
        <w:tabs>
          <w:tab w:val="left" w:pos="0"/>
        </w:tabs>
        <w:ind w:right="-1091"/>
        <w:jc w:val="both"/>
        <w:rPr>
          <w:rFonts w:asciiTheme="minorHAnsi" w:eastAsia="Arial" w:hAnsiTheme="minorHAnsi" w:cstheme="minorHAnsi"/>
          <w:sz w:val="22"/>
          <w:szCs w:val="22"/>
        </w:rPr>
      </w:pPr>
      <w:r w:rsidRPr="006760EA">
        <w:rPr>
          <w:rFonts w:asciiTheme="minorHAnsi" w:eastAsia="Arial" w:hAnsiTheme="minorHAnsi" w:cstheme="minorHAnsi"/>
          <w:sz w:val="22"/>
          <w:szCs w:val="22"/>
        </w:rPr>
        <w:t xml:space="preserve">   </w:t>
      </w:r>
      <w:r w:rsidR="00084B76">
        <w:rPr>
          <w:rFonts w:asciiTheme="minorHAnsi" w:eastAsia="Arial" w:hAnsiTheme="minorHAnsi" w:cstheme="minorHAnsi"/>
          <w:sz w:val="22"/>
          <w:szCs w:val="22"/>
        </w:rPr>
        <w:t xml:space="preserve"> Απόντος του </w:t>
      </w:r>
      <w:r w:rsidRPr="006760EA">
        <w:rPr>
          <w:rFonts w:asciiTheme="minorHAnsi" w:eastAsia="Arial" w:hAnsiTheme="minorHAnsi" w:cstheme="minorHAnsi"/>
          <w:sz w:val="22"/>
          <w:szCs w:val="22"/>
        </w:rPr>
        <w:t>Πρ</w:t>
      </w:r>
      <w:r w:rsidR="00084B76">
        <w:rPr>
          <w:rFonts w:asciiTheme="minorHAnsi" w:eastAsia="Arial" w:hAnsiTheme="minorHAnsi" w:cstheme="minorHAnsi"/>
          <w:sz w:val="22"/>
          <w:szCs w:val="22"/>
        </w:rPr>
        <w:t xml:space="preserve">οέδρου </w:t>
      </w:r>
      <w:r w:rsidRPr="006760EA">
        <w:rPr>
          <w:rFonts w:asciiTheme="minorHAnsi" w:eastAsia="Arial" w:hAnsiTheme="minorHAnsi" w:cstheme="minorHAnsi"/>
          <w:sz w:val="22"/>
          <w:szCs w:val="22"/>
        </w:rPr>
        <w:t xml:space="preserve"> της Δημοτικής  Επιτροπής </w:t>
      </w:r>
      <w:r w:rsidR="00084B76">
        <w:rPr>
          <w:rFonts w:asciiTheme="minorHAnsi" w:eastAsia="Arial" w:hAnsiTheme="minorHAnsi" w:cstheme="minorHAnsi"/>
          <w:sz w:val="22"/>
          <w:szCs w:val="22"/>
        </w:rPr>
        <w:t xml:space="preserve">, ο Αντιπρόεδρος   αυτής </w:t>
      </w:r>
      <w:r w:rsidRPr="006760EA">
        <w:rPr>
          <w:rFonts w:asciiTheme="minorHAnsi" w:eastAsia="Arial" w:hAnsiTheme="minorHAnsi" w:cstheme="minorHAnsi"/>
          <w:sz w:val="22"/>
          <w:szCs w:val="22"/>
        </w:rPr>
        <w:t xml:space="preserve">εισηγούμενος το  </w:t>
      </w:r>
      <w:r w:rsidR="00A02F94">
        <w:rPr>
          <w:rFonts w:asciiTheme="minorHAnsi" w:eastAsia="Arial" w:hAnsiTheme="minorHAnsi" w:cstheme="minorHAnsi"/>
          <w:sz w:val="22"/>
          <w:szCs w:val="22"/>
        </w:rPr>
        <w:t>1</w:t>
      </w:r>
      <w:r w:rsidRPr="006760EA">
        <w:rPr>
          <w:rFonts w:asciiTheme="minorHAnsi" w:eastAsia="Arial" w:hAnsiTheme="minorHAnsi" w:cstheme="minorHAnsi"/>
          <w:sz w:val="22"/>
          <w:szCs w:val="22"/>
          <w:vertAlign w:val="superscript"/>
        </w:rPr>
        <w:t>ο</w:t>
      </w:r>
      <w:r w:rsidRPr="006760EA">
        <w:rPr>
          <w:rFonts w:asciiTheme="minorHAnsi" w:eastAsia="Arial" w:hAnsiTheme="minorHAnsi" w:cstheme="minorHAnsi"/>
          <w:sz w:val="22"/>
          <w:szCs w:val="22"/>
        </w:rPr>
        <w:t xml:space="preserve"> θέμα της ημερήσιας διάταξης</w:t>
      </w:r>
      <w:r w:rsidR="00084B76">
        <w:rPr>
          <w:rFonts w:asciiTheme="minorHAnsi" w:eastAsia="Arial" w:hAnsiTheme="minorHAnsi" w:cstheme="minorHAnsi"/>
          <w:sz w:val="22"/>
          <w:szCs w:val="22"/>
        </w:rPr>
        <w:t xml:space="preserve"> </w:t>
      </w:r>
      <w:r w:rsidRPr="006760EA">
        <w:rPr>
          <w:rFonts w:asciiTheme="minorHAnsi" w:eastAsia="Arial" w:hAnsiTheme="minorHAnsi" w:cstheme="minorHAnsi"/>
          <w:sz w:val="22"/>
          <w:szCs w:val="22"/>
        </w:rPr>
        <w:t xml:space="preserve">έθεσε υπόψη των μελών την με </w:t>
      </w:r>
      <w:proofErr w:type="spellStart"/>
      <w:r w:rsidRPr="006760EA">
        <w:rPr>
          <w:rFonts w:asciiTheme="minorHAnsi" w:eastAsia="Arial" w:hAnsiTheme="minorHAnsi" w:cstheme="minorHAnsi"/>
          <w:sz w:val="22"/>
          <w:szCs w:val="22"/>
        </w:rPr>
        <w:t>αριθ.πρωτ</w:t>
      </w:r>
      <w:proofErr w:type="spellEnd"/>
      <w:r w:rsidRPr="006760EA">
        <w:rPr>
          <w:rFonts w:asciiTheme="minorHAnsi" w:hAnsiTheme="minorHAnsi" w:cstheme="minorHAnsi"/>
          <w:sz w:val="22"/>
          <w:szCs w:val="22"/>
        </w:rPr>
        <w:t xml:space="preserve">.   </w:t>
      </w:r>
      <w:r w:rsidR="00B375E6" w:rsidRPr="006760EA">
        <w:rPr>
          <w:rFonts w:asciiTheme="minorHAnsi" w:hAnsiTheme="minorHAnsi" w:cstheme="minorHAnsi"/>
          <w:sz w:val="22"/>
          <w:szCs w:val="22"/>
        </w:rPr>
        <w:t>22624</w:t>
      </w:r>
      <w:r w:rsidRPr="006760EA">
        <w:rPr>
          <w:rFonts w:asciiTheme="minorHAnsi" w:hAnsiTheme="minorHAnsi" w:cstheme="minorHAnsi"/>
          <w:sz w:val="22"/>
          <w:szCs w:val="22"/>
        </w:rPr>
        <w:t>/0</w:t>
      </w:r>
      <w:r w:rsidR="00B375E6" w:rsidRPr="006760EA">
        <w:rPr>
          <w:rFonts w:asciiTheme="minorHAnsi" w:hAnsiTheme="minorHAnsi" w:cstheme="minorHAnsi"/>
          <w:sz w:val="22"/>
          <w:szCs w:val="22"/>
        </w:rPr>
        <w:t>5</w:t>
      </w:r>
      <w:r w:rsidRPr="006760EA">
        <w:rPr>
          <w:rFonts w:asciiTheme="minorHAnsi" w:hAnsiTheme="minorHAnsi" w:cstheme="minorHAnsi"/>
          <w:sz w:val="22"/>
          <w:szCs w:val="22"/>
        </w:rPr>
        <w:t>-</w:t>
      </w:r>
      <w:r w:rsidR="00B375E6" w:rsidRPr="006760EA">
        <w:rPr>
          <w:rFonts w:asciiTheme="minorHAnsi" w:hAnsiTheme="minorHAnsi" w:cstheme="minorHAnsi"/>
          <w:sz w:val="22"/>
          <w:szCs w:val="22"/>
        </w:rPr>
        <w:t>11</w:t>
      </w:r>
      <w:r w:rsidRPr="006760EA">
        <w:rPr>
          <w:rFonts w:asciiTheme="minorHAnsi" w:eastAsia="Arial" w:hAnsiTheme="minorHAnsi" w:cstheme="minorHAnsi"/>
          <w:b/>
          <w:sz w:val="22"/>
          <w:szCs w:val="22"/>
        </w:rPr>
        <w:t>-</w:t>
      </w:r>
      <w:r w:rsidRPr="006760EA">
        <w:rPr>
          <w:rFonts w:asciiTheme="minorHAnsi" w:eastAsia="Arial" w:hAnsiTheme="minorHAnsi" w:cstheme="minorHAnsi"/>
          <w:sz w:val="22"/>
          <w:szCs w:val="22"/>
        </w:rPr>
        <w:t xml:space="preserve">2025  έγγραφη  εισήγηση της Αν. </w:t>
      </w:r>
    </w:p>
    <w:p w:rsidR="00DC5911" w:rsidRPr="006760EA" w:rsidRDefault="00DC5911" w:rsidP="00DC5911">
      <w:pPr>
        <w:tabs>
          <w:tab w:val="left" w:pos="0"/>
        </w:tabs>
        <w:ind w:right="-1091"/>
        <w:jc w:val="both"/>
        <w:rPr>
          <w:rFonts w:asciiTheme="minorHAnsi" w:hAnsiTheme="minorHAnsi" w:cstheme="minorHAnsi"/>
          <w:sz w:val="22"/>
          <w:szCs w:val="22"/>
        </w:rPr>
      </w:pPr>
      <w:r w:rsidRPr="006760EA">
        <w:rPr>
          <w:rFonts w:asciiTheme="minorHAnsi" w:eastAsia="Arial" w:hAnsiTheme="minorHAnsi" w:cstheme="minorHAnsi"/>
          <w:sz w:val="22"/>
          <w:szCs w:val="22"/>
        </w:rPr>
        <w:t>Προϊσταμένης  Οικονομικών Υπηρεσιών</w:t>
      </w:r>
      <w:r w:rsidRPr="006760EA">
        <w:rPr>
          <w:rFonts w:asciiTheme="minorHAnsi" w:eastAsia="Verdana" w:hAnsiTheme="minorHAnsi" w:cstheme="minorHAnsi"/>
          <w:color w:val="000000"/>
          <w:sz w:val="22"/>
          <w:szCs w:val="22"/>
        </w:rPr>
        <w:t xml:space="preserve"> τ</w:t>
      </w:r>
      <w:r w:rsidRPr="006760EA">
        <w:rPr>
          <w:rFonts w:asciiTheme="minorHAnsi" w:hAnsiTheme="minorHAnsi" w:cstheme="minorHAnsi"/>
          <w:sz w:val="22"/>
          <w:szCs w:val="22"/>
        </w:rPr>
        <w:t xml:space="preserve">ου Δήμου </w:t>
      </w:r>
      <w:proofErr w:type="spellStart"/>
      <w:r w:rsidRPr="006760EA">
        <w:rPr>
          <w:rFonts w:asciiTheme="minorHAnsi" w:hAnsiTheme="minorHAnsi" w:cstheme="minorHAnsi"/>
          <w:sz w:val="22"/>
          <w:szCs w:val="22"/>
        </w:rPr>
        <w:t>Λεβαδέων</w:t>
      </w:r>
      <w:proofErr w:type="spellEnd"/>
      <w:r w:rsidRPr="006760EA">
        <w:rPr>
          <w:rFonts w:asciiTheme="minorHAnsi" w:hAnsiTheme="minorHAnsi" w:cstheme="minorHAnsi"/>
          <w:sz w:val="22"/>
          <w:szCs w:val="22"/>
        </w:rPr>
        <w:t xml:space="preserve"> στην οποία αναφέρονται:</w:t>
      </w:r>
    </w:p>
    <w:p w:rsidR="006760EA" w:rsidRDefault="006760EA" w:rsidP="006760EA">
      <w:pPr>
        <w:spacing w:before="120" w:after="120" w:line="360" w:lineRule="auto"/>
        <w:ind w:right="-199"/>
        <w:jc w:val="both"/>
        <w:rPr>
          <w:rFonts w:ascii="Calibri" w:hAnsi="Calibri" w:cs="Calibri"/>
          <w:sz w:val="24"/>
        </w:rPr>
      </w:pPr>
      <w:r>
        <w:rPr>
          <w:rFonts w:ascii="Calibri" w:hAnsi="Calibri" w:cs="Calibri"/>
          <w:sz w:val="24"/>
        </w:rPr>
        <w:t>Έχοντας υπόψη</w:t>
      </w:r>
      <w:r w:rsidRPr="003A44CC">
        <w:rPr>
          <w:rFonts w:ascii="Calibri" w:hAnsi="Calibri" w:cs="Calibri"/>
          <w:sz w:val="24"/>
        </w:rPr>
        <w:t>:</w:t>
      </w:r>
    </w:p>
    <w:p w:rsidR="006760EA" w:rsidRPr="00B314C7" w:rsidRDefault="006760EA" w:rsidP="006760EA">
      <w:pPr>
        <w:spacing w:before="120" w:after="120" w:line="360" w:lineRule="auto"/>
        <w:ind w:right="-199"/>
        <w:jc w:val="both"/>
        <w:rPr>
          <w:rFonts w:ascii="Calibri" w:hAnsi="Calibri" w:cs="Calibri"/>
          <w:sz w:val="24"/>
        </w:rPr>
      </w:pPr>
      <w:r w:rsidRPr="00B314C7">
        <w:rPr>
          <w:rFonts w:ascii="Calibri" w:hAnsi="Calibri" w:cs="Calibri"/>
          <w:sz w:val="24"/>
        </w:rPr>
        <w:t>α) Τις διατάξεις της παρ. 9  του άρθρου 266 του Ν. 3852/2010 «Νέα Αρχιτεκτονική της Αυτοδιοίκησης και της Αποκεντρωμένης Διοίκησης – Πρόγραμμα Καλλικράτης» , όπως τροποποιήθηκε «και συμπληρώθηκε με την παρ. 4  του άρθρου 43 του Ν. 3979/2011, που αντικαταστάθηκε με το άρθρο 39 του Ν. 4257/14 «Επείγουσες ρυθμίσεις αρμοδιότητας Υπουργείου Εσωτερικών» (ΦΕΚ 93/Α/14-4-2014) σύμφωνα με τις οποίες: «</w:t>
      </w:r>
      <w:r w:rsidRPr="00B314C7">
        <w:rPr>
          <w:rFonts w:ascii="Calibri" w:hAnsi="Calibri" w:cs="Calibri"/>
          <w:b/>
          <w:sz w:val="24"/>
        </w:rPr>
        <w:t xml:space="preserve">Η </w:t>
      </w:r>
      <w:r>
        <w:rPr>
          <w:rFonts w:ascii="Calibri" w:hAnsi="Calibri" w:cs="Calibri"/>
          <w:b/>
          <w:sz w:val="24"/>
        </w:rPr>
        <w:t>δημοτική</w:t>
      </w:r>
      <w:r w:rsidRPr="00B314C7">
        <w:rPr>
          <w:rFonts w:ascii="Calibri" w:hAnsi="Calibri" w:cs="Calibri"/>
          <w:b/>
          <w:sz w:val="24"/>
        </w:rPr>
        <w:t xml:space="preserve"> επιτροπή,</w:t>
      </w:r>
      <w:r w:rsidRPr="00B314C7">
        <w:rPr>
          <w:rFonts w:ascii="Calibri" w:hAnsi="Calibri" w:cs="Calibri"/>
          <w:sz w:val="24"/>
        </w:rPr>
        <w:t xml:space="preserve"> έπειτα από εισήγηση του υ</w:t>
      </w:r>
      <w:r w:rsidRPr="00B314C7">
        <w:rPr>
          <w:rFonts w:ascii="Calibri" w:hAnsi="Calibri" w:cs="Calibri"/>
          <w:sz w:val="24"/>
        </w:rPr>
        <w:softHyphen/>
        <w:t xml:space="preserve">πευθύνου οικονομικών υπηρεσιών του οικείου δήμου, μετά την λήξη κάθε τριμήνου </w:t>
      </w:r>
      <w:r w:rsidRPr="00B314C7">
        <w:rPr>
          <w:rFonts w:ascii="Calibri" w:hAnsi="Calibri" w:cs="Calibri"/>
          <w:b/>
          <w:sz w:val="24"/>
        </w:rPr>
        <w:t>υ</w:t>
      </w:r>
      <w:r w:rsidRPr="00B314C7">
        <w:rPr>
          <w:rFonts w:ascii="Calibri" w:hAnsi="Calibri" w:cs="Calibri"/>
          <w:b/>
          <w:sz w:val="24"/>
        </w:rPr>
        <w:softHyphen/>
        <w:t xml:space="preserve">ποβάλλει στο δημοτικό συμβούλιο έκθεση για τα αποτελέσματα εκτέλεσης του προϋπολογισμού, κατά το χρονικό διάστημα από την αρχή </w:t>
      </w:r>
      <w:r w:rsidRPr="00B314C7">
        <w:rPr>
          <w:rFonts w:ascii="Calibri" w:hAnsi="Calibri" w:cs="Calibri"/>
          <w:b/>
          <w:sz w:val="24"/>
        </w:rPr>
        <w:lastRenderedPageBreak/>
        <w:t>του οικονομικού έτους έως το τέλος του συγκεκριμένου τριμήνου</w:t>
      </w:r>
      <w:r w:rsidRPr="00B314C7">
        <w:rPr>
          <w:rFonts w:ascii="Calibri" w:hAnsi="Calibri" w:cs="Calibri"/>
          <w:sz w:val="24"/>
        </w:rPr>
        <w:t>. Στην έκθεση διατυπώνονται και οι τυχόν παρατηρήσεις της μειοψη</w:t>
      </w:r>
      <w:r w:rsidRPr="00B314C7">
        <w:rPr>
          <w:rFonts w:ascii="Calibri" w:hAnsi="Calibri" w:cs="Calibri"/>
          <w:sz w:val="24"/>
        </w:rPr>
        <w:softHyphen/>
        <w:t>φίας και επισυνάπτεται σε αυτή η εισήγηση του υπευθύνου οικονομικών υπηρεσιών, καθώς και η έκθεση του προηγούμενου τριμήνου. Η έκθεση μετά των συνημμένων της υποβάλλεται στο δημοτικό συμβούλιο εντός προθεσμίας τριάντα (30) ημερών από την λήξη κάθε τριμήνου.</w:t>
      </w:r>
    </w:p>
    <w:p w:rsidR="006760EA" w:rsidRPr="00B314C7" w:rsidRDefault="006760EA" w:rsidP="006760EA">
      <w:pPr>
        <w:spacing w:before="120" w:after="120" w:line="360" w:lineRule="auto"/>
        <w:ind w:right="-199"/>
        <w:jc w:val="both"/>
        <w:rPr>
          <w:rFonts w:ascii="Calibri" w:hAnsi="Calibri" w:cs="Calibri"/>
          <w:sz w:val="24"/>
        </w:rPr>
      </w:pPr>
      <w:r w:rsidRPr="00B314C7">
        <w:rPr>
          <w:rFonts w:ascii="Calibri" w:hAnsi="Calibri" w:cs="Calibri"/>
          <w:sz w:val="24"/>
        </w:rPr>
        <w:t>Οι ανωτέρω αποφάσεις υποβάλλονται στον Ελεγκτή Νομιμότητας για έλεγχο. Η έκθεση, μετά των συνημμένων της και η απόφαση του δημοτικού συμβουλίου αναρτώνται στην ιστοσελίδα του οικείου δήμου και στο διαδίκτυο, σύμφωνα με τα οριζόμενα στον Ν. 3861/2010 («Πρόγραμμα Διαύγεια»), γνωστοποιούμενοι οι σχετικοί αριθμοί διαδικτυακής ανάρτησης (ΑΔΑ) στον Ελεγκτή Νομιμότητας και στην οικεία υπηρεσία Επιτρόπου για την εφαρμογή των διατάξεων του άρθρου 277 του Ν. 3852/2010.</w:t>
      </w:r>
    </w:p>
    <w:p w:rsidR="006760EA" w:rsidRPr="00B314C7" w:rsidRDefault="006760EA" w:rsidP="006760EA">
      <w:pPr>
        <w:spacing w:before="120" w:after="120" w:line="360" w:lineRule="auto"/>
        <w:ind w:right="-199"/>
        <w:jc w:val="both"/>
        <w:rPr>
          <w:rFonts w:ascii="Calibri" w:hAnsi="Calibri" w:cs="Calibri"/>
          <w:sz w:val="24"/>
        </w:rPr>
      </w:pPr>
      <w:r w:rsidRPr="00B314C7">
        <w:rPr>
          <w:rFonts w:ascii="Calibri" w:hAnsi="Calibri" w:cs="Calibri"/>
          <w:sz w:val="24"/>
        </w:rPr>
        <w:t xml:space="preserve">Τα στοιχεία που πρέπει να περιλαμβάνονται στην έκθεση ή και να τη συνοδεύουν, καθώς και κάθε άλλο θέμα για την εφαρμογή της παραγράφου αυτής καθορίζονται με απόφαση του Υπουργού Εσωτερικών» </w:t>
      </w:r>
    </w:p>
    <w:p w:rsidR="006760EA" w:rsidRPr="00B71EDF" w:rsidRDefault="006760EA" w:rsidP="006760EA">
      <w:pPr>
        <w:spacing w:before="120" w:after="120" w:line="360" w:lineRule="auto"/>
        <w:ind w:right="-199"/>
        <w:jc w:val="both"/>
        <w:rPr>
          <w:rFonts w:ascii="Calibri" w:hAnsi="Calibri" w:cs="Calibri"/>
          <w:sz w:val="24"/>
        </w:rPr>
      </w:pPr>
      <w:r w:rsidRPr="00B314C7">
        <w:rPr>
          <w:rFonts w:ascii="Calibri" w:hAnsi="Calibri" w:cs="Calibri"/>
          <w:sz w:val="24"/>
        </w:rPr>
        <w:t>β) Την υ</w:t>
      </w:r>
      <w:r>
        <w:rPr>
          <w:rFonts w:ascii="Calibri" w:hAnsi="Calibri" w:cs="Calibri"/>
          <w:sz w:val="24"/>
        </w:rPr>
        <w:t>π</w:t>
      </w:r>
      <w:r w:rsidRPr="00B314C7">
        <w:rPr>
          <w:rFonts w:ascii="Calibri" w:hAnsi="Calibri" w:cs="Calibri"/>
          <w:sz w:val="24"/>
        </w:rPr>
        <w:t xml:space="preserve">' </w:t>
      </w:r>
      <w:proofErr w:type="spellStart"/>
      <w:r w:rsidRPr="00B314C7">
        <w:rPr>
          <w:rFonts w:ascii="Calibri" w:hAnsi="Calibri" w:cs="Calibri"/>
          <w:sz w:val="24"/>
        </w:rPr>
        <w:t>αριθμ</w:t>
      </w:r>
      <w:proofErr w:type="spellEnd"/>
      <w:r w:rsidRPr="00B314C7">
        <w:rPr>
          <w:rFonts w:ascii="Calibri" w:hAnsi="Calibri" w:cs="Calibri"/>
          <w:sz w:val="24"/>
        </w:rPr>
        <w:t xml:space="preserve">. </w:t>
      </w:r>
      <w:r w:rsidRPr="00E43DB8">
        <w:rPr>
          <w:rFonts w:ascii="Calibri" w:hAnsi="Calibri" w:cs="Calibri"/>
          <w:sz w:val="24"/>
        </w:rPr>
        <w:t>56415</w:t>
      </w:r>
      <w:r w:rsidRPr="00B314C7">
        <w:rPr>
          <w:rFonts w:ascii="Calibri" w:hAnsi="Calibri" w:cs="Calibri"/>
          <w:sz w:val="24"/>
        </w:rPr>
        <w:t>/</w:t>
      </w:r>
      <w:r>
        <w:rPr>
          <w:rFonts w:ascii="Calibri" w:hAnsi="Calibri" w:cs="Calibri"/>
          <w:sz w:val="24"/>
        </w:rPr>
        <w:t>202</w:t>
      </w:r>
      <w:r w:rsidRPr="00E43DB8">
        <w:rPr>
          <w:rFonts w:ascii="Calibri" w:hAnsi="Calibri" w:cs="Calibri"/>
          <w:sz w:val="24"/>
        </w:rPr>
        <w:t>4</w:t>
      </w:r>
      <w:r>
        <w:rPr>
          <w:rFonts w:ascii="Calibri" w:hAnsi="Calibri" w:cs="Calibri"/>
          <w:sz w:val="24"/>
        </w:rPr>
        <w:t xml:space="preserve"> </w:t>
      </w:r>
      <w:r w:rsidRPr="00B314C7">
        <w:rPr>
          <w:rFonts w:ascii="Calibri" w:hAnsi="Calibri" w:cs="Calibri"/>
          <w:sz w:val="24"/>
        </w:rPr>
        <w:t>Κοινή Απόφαση των Υπουργών Εσωτερικών και Οικονομικών «</w:t>
      </w:r>
      <w:r w:rsidRPr="00B71EDF">
        <w:rPr>
          <w:rFonts w:ascii="Calibri" w:hAnsi="Calibri" w:cs="Calibri"/>
          <w:sz w:val="24"/>
        </w:rPr>
        <w:t>Παροχή οδηγιών για την κατάρτιση του προϋπολογισμού των δήμων, οικονομικού έτους 20</w:t>
      </w:r>
      <w:r>
        <w:rPr>
          <w:rFonts w:ascii="Calibri" w:hAnsi="Calibri" w:cs="Calibri"/>
          <w:sz w:val="24"/>
        </w:rPr>
        <w:t>2</w:t>
      </w:r>
      <w:r w:rsidRPr="00E43DB8">
        <w:rPr>
          <w:rFonts w:ascii="Calibri" w:hAnsi="Calibri" w:cs="Calibri"/>
          <w:sz w:val="24"/>
        </w:rPr>
        <w:t>5</w:t>
      </w:r>
      <w:r w:rsidRPr="00B71EDF">
        <w:rPr>
          <w:rFonts w:ascii="Calibri" w:hAnsi="Calibri" w:cs="Calibri"/>
          <w:sz w:val="24"/>
        </w:rPr>
        <w:t xml:space="preserve"> (</w:t>
      </w:r>
      <w:r>
        <w:rPr>
          <w:rFonts w:ascii="Calibri" w:hAnsi="Calibri" w:cs="Calibri"/>
          <w:sz w:val="24"/>
        </w:rPr>
        <w:t xml:space="preserve">ΦΕΚ </w:t>
      </w:r>
      <w:r w:rsidRPr="00B71EDF">
        <w:rPr>
          <w:rFonts w:ascii="Calibri" w:hAnsi="Calibri" w:cs="Calibri"/>
          <w:sz w:val="24"/>
        </w:rPr>
        <w:t xml:space="preserve">Β΄ </w:t>
      </w:r>
      <w:r w:rsidRPr="00E43DB8">
        <w:rPr>
          <w:rFonts w:ascii="Calibri" w:hAnsi="Calibri" w:cs="Calibri"/>
          <w:sz w:val="24"/>
        </w:rPr>
        <w:t>4457</w:t>
      </w:r>
      <w:r>
        <w:rPr>
          <w:rFonts w:ascii="Calibri" w:hAnsi="Calibri" w:cs="Calibri"/>
          <w:sz w:val="24"/>
        </w:rPr>
        <w:t>/</w:t>
      </w:r>
      <w:r w:rsidRPr="00E43DB8">
        <w:rPr>
          <w:rFonts w:ascii="Calibri" w:hAnsi="Calibri" w:cs="Calibri"/>
          <w:sz w:val="24"/>
        </w:rPr>
        <w:t>31</w:t>
      </w:r>
      <w:r w:rsidRPr="00F6261F">
        <w:rPr>
          <w:rFonts w:ascii="Calibri" w:hAnsi="Calibri" w:cs="Calibri"/>
          <w:sz w:val="24"/>
        </w:rPr>
        <w:t>-7</w:t>
      </w:r>
      <w:r>
        <w:rPr>
          <w:rFonts w:ascii="Calibri" w:hAnsi="Calibri" w:cs="Calibri"/>
          <w:sz w:val="24"/>
        </w:rPr>
        <w:t>-202</w:t>
      </w:r>
      <w:r w:rsidRPr="00E43DB8">
        <w:rPr>
          <w:rFonts w:ascii="Calibri" w:hAnsi="Calibri" w:cs="Calibri"/>
          <w:sz w:val="24"/>
        </w:rPr>
        <w:t>4</w:t>
      </w:r>
      <w:r w:rsidRPr="00B71EDF">
        <w:rPr>
          <w:rFonts w:ascii="Calibri" w:hAnsi="Calibri" w:cs="Calibri"/>
          <w:sz w:val="24"/>
        </w:rPr>
        <w:t>) ».</w:t>
      </w:r>
    </w:p>
    <w:p w:rsidR="006760EA" w:rsidRPr="00B314C7" w:rsidRDefault="006760EA" w:rsidP="006760EA">
      <w:pPr>
        <w:spacing w:before="120" w:after="120" w:line="360" w:lineRule="auto"/>
        <w:ind w:right="-199"/>
        <w:jc w:val="both"/>
        <w:rPr>
          <w:rFonts w:ascii="Calibri" w:hAnsi="Calibri" w:cs="Calibri"/>
          <w:sz w:val="24"/>
        </w:rPr>
      </w:pPr>
      <w:r>
        <w:rPr>
          <w:rFonts w:ascii="Calibri" w:hAnsi="Calibri" w:cs="Calibri"/>
          <w:sz w:val="24"/>
        </w:rPr>
        <w:t>γ</w:t>
      </w:r>
      <w:r w:rsidRPr="00B314C7">
        <w:rPr>
          <w:rFonts w:ascii="Calibri" w:hAnsi="Calibri" w:cs="Calibri"/>
          <w:sz w:val="24"/>
        </w:rPr>
        <w:t>) Τα στοιχεία που πρέπει να περιλαμβάνει η τριμηνιαία έκθεση, καθορίζονται με την 40038/9-9-2011 απόφαση του Υπουργού Εσωτερικών. Η τριμηνιαία έκθεση των αποτελεσμάτων εκτέλεσης του προϋπολογισμού των δήμων, συντάσσεται σύμφωνα με τα Υποδείγματα 1 έως και 3, που επισυνάπτονται στην απόφαση και αποτελούν αναπόσπαστο μέρος αυτής.</w:t>
      </w:r>
    </w:p>
    <w:p w:rsidR="006760EA" w:rsidRDefault="006760EA" w:rsidP="006760EA">
      <w:pPr>
        <w:spacing w:before="120" w:after="120" w:line="360" w:lineRule="auto"/>
        <w:ind w:right="-199"/>
        <w:jc w:val="both"/>
        <w:rPr>
          <w:rFonts w:ascii="Calibri" w:hAnsi="Calibri" w:cs="Calibri"/>
          <w:sz w:val="24"/>
        </w:rPr>
      </w:pPr>
      <w:r>
        <w:rPr>
          <w:rFonts w:ascii="Calibri" w:hAnsi="Calibri" w:cs="Calibri"/>
          <w:sz w:val="24"/>
        </w:rPr>
        <w:t>δ</w:t>
      </w:r>
      <w:r w:rsidRPr="00B314C7">
        <w:rPr>
          <w:rFonts w:ascii="Calibri" w:hAnsi="Calibri" w:cs="Calibri"/>
          <w:sz w:val="24"/>
        </w:rPr>
        <w:t xml:space="preserve">) Τις διατάξεις του Ν. 4270/2014 «Αρχές δημοσιονομικής διαχείρισης και εποπτείας (ενσωμάτωση της Οδηγίας 2011/85/ΕΕ) – δημόσιο λογιστικό και άλλες διατάξεις» (ΦΕΚ 143/Α/28-6-2014) και ιδίως το άρθρο 25 περί αρμοδιοτήτων των προϊσταμένων οικονομικών υπηρεσιών λοιπών φορέων της Γενικής Κυβέρνησης, το άρθρο 26 περί υποχρεώσεων των προϊσταμένων οικονομικών υπηρεσιών Υπουργείων και λοιπών φορέων της Γενικής Κυβέρνησης </w:t>
      </w:r>
    </w:p>
    <w:p w:rsidR="006760EA" w:rsidRDefault="006760EA" w:rsidP="006760EA">
      <w:pPr>
        <w:autoSpaceDE w:val="0"/>
        <w:autoSpaceDN w:val="0"/>
        <w:adjustRightInd w:val="0"/>
        <w:spacing w:line="360" w:lineRule="auto"/>
        <w:jc w:val="both"/>
        <w:rPr>
          <w:rFonts w:ascii="Calibri" w:hAnsi="Calibri" w:cs="Calibri"/>
          <w:sz w:val="24"/>
          <w:szCs w:val="24"/>
        </w:rPr>
      </w:pPr>
      <w:r w:rsidRPr="00F00E98">
        <w:rPr>
          <w:rFonts w:ascii="Calibri" w:hAnsi="Calibri" w:cs="Calibri"/>
          <w:sz w:val="24"/>
          <w:szCs w:val="24"/>
        </w:rPr>
        <w:t xml:space="preserve">ε) Τις διατάξεις της αρ. 34574/05-07-2018 ( ΦΕΚ 2942 και 3635 B΄) Κ.Υ.Α. των Υπουργών Εσωτερικών και Οικονομικών «Καθορισμός </w:t>
      </w:r>
      <w:proofErr w:type="spellStart"/>
      <w:r w:rsidRPr="00F00E98">
        <w:rPr>
          <w:rFonts w:ascii="Calibri" w:hAnsi="Calibri" w:cs="Calibri"/>
          <w:sz w:val="24"/>
          <w:szCs w:val="24"/>
        </w:rPr>
        <w:t>στοχοθεσίας</w:t>
      </w:r>
      <w:proofErr w:type="spellEnd"/>
      <w:r w:rsidRPr="00F00E98">
        <w:rPr>
          <w:rFonts w:ascii="Calibri" w:hAnsi="Calibri" w:cs="Calibri"/>
          <w:sz w:val="24"/>
          <w:szCs w:val="24"/>
        </w:rPr>
        <w:t xml:space="preserve"> οικονομικών αποτελεσμάτων και διαδικασίας παρακολούθησης των προϋπολογισμών των ΟΤΑ και των νομικών προσώπων </w:t>
      </w:r>
      <w:r w:rsidRPr="00F00E98">
        <w:rPr>
          <w:rFonts w:ascii="Calibri" w:hAnsi="Calibri" w:cs="Calibri"/>
          <w:sz w:val="24"/>
          <w:szCs w:val="24"/>
        </w:rPr>
        <w:lastRenderedPageBreak/>
        <w:t>της Τοπικής Αυτοδιοίκησης από το Παρατηρητήριο Οικονομικής Αυτοτέλειας των ΟΤΑ.-Θέματα Λειτουργίας του Παρατηρητηρίου Οικονομικής Αυτοτέλειας των ΟΤΑ»</w:t>
      </w:r>
    </w:p>
    <w:p w:rsidR="006760EA" w:rsidRPr="00F00E98" w:rsidRDefault="006760EA" w:rsidP="006760EA">
      <w:pPr>
        <w:autoSpaceDE w:val="0"/>
        <w:autoSpaceDN w:val="0"/>
        <w:adjustRightInd w:val="0"/>
        <w:spacing w:line="360" w:lineRule="auto"/>
        <w:jc w:val="both"/>
        <w:rPr>
          <w:rFonts w:ascii="Calibri" w:hAnsi="Calibri" w:cs="Calibri"/>
          <w:sz w:val="24"/>
          <w:szCs w:val="24"/>
        </w:rPr>
      </w:pPr>
      <w:r w:rsidRPr="00F00E98">
        <w:rPr>
          <w:rFonts w:ascii="Calibri" w:hAnsi="Calibri" w:cs="Calibri"/>
          <w:sz w:val="24"/>
          <w:szCs w:val="24"/>
        </w:rPr>
        <w:t xml:space="preserve">στ) Το με αρ. </w:t>
      </w:r>
      <w:proofErr w:type="spellStart"/>
      <w:r w:rsidRPr="00F00E98">
        <w:rPr>
          <w:rFonts w:ascii="Calibri" w:hAnsi="Calibri" w:cs="Calibri"/>
          <w:sz w:val="24"/>
          <w:szCs w:val="24"/>
        </w:rPr>
        <w:t>πρωτ</w:t>
      </w:r>
      <w:proofErr w:type="spellEnd"/>
      <w:r w:rsidRPr="00F00E98">
        <w:rPr>
          <w:rFonts w:ascii="Calibri" w:hAnsi="Calibri" w:cs="Calibri"/>
          <w:sz w:val="24"/>
          <w:szCs w:val="24"/>
        </w:rPr>
        <w:t>. 44485/6-8-2018 έγγραφο του Υπ. Εσωτερικών «Οδηγίες για την υποχρεωτική αναμόρφωση των ΟΠΔ 2018 και διευκρινίσεις επί του</w:t>
      </w:r>
      <w:r>
        <w:rPr>
          <w:rFonts w:ascii="Calibri" w:hAnsi="Calibri" w:cs="Calibri"/>
          <w:sz w:val="24"/>
          <w:szCs w:val="24"/>
        </w:rPr>
        <w:t xml:space="preserve"> </w:t>
      </w:r>
      <w:r w:rsidRPr="00F00E98">
        <w:rPr>
          <w:rFonts w:ascii="Calibri" w:hAnsi="Calibri" w:cs="Calibri"/>
          <w:sz w:val="24"/>
          <w:szCs w:val="24"/>
        </w:rPr>
        <w:t xml:space="preserve">νέου συστήματος </w:t>
      </w:r>
      <w:proofErr w:type="spellStart"/>
      <w:r w:rsidRPr="00F00E98">
        <w:rPr>
          <w:rFonts w:ascii="Calibri" w:hAnsi="Calibri" w:cs="Calibri"/>
          <w:sz w:val="24"/>
          <w:szCs w:val="24"/>
        </w:rPr>
        <w:t>στοχοθεσίας</w:t>
      </w:r>
      <w:proofErr w:type="spellEnd"/>
      <w:r w:rsidRPr="00F00E98">
        <w:rPr>
          <w:rFonts w:ascii="Calibri" w:hAnsi="Calibri" w:cs="Calibri"/>
          <w:sz w:val="24"/>
          <w:szCs w:val="24"/>
        </w:rPr>
        <w:t xml:space="preserve"> και ελέγχου επίτευξης των οικονομικών στόχων</w:t>
      </w:r>
      <w:r>
        <w:rPr>
          <w:rFonts w:ascii="Calibri" w:hAnsi="Calibri" w:cs="Calibri"/>
          <w:sz w:val="24"/>
          <w:szCs w:val="24"/>
        </w:rPr>
        <w:t xml:space="preserve"> </w:t>
      </w:r>
      <w:r w:rsidRPr="00F00E98">
        <w:rPr>
          <w:rFonts w:ascii="Calibri" w:hAnsi="Calibri" w:cs="Calibri"/>
          <w:sz w:val="24"/>
          <w:szCs w:val="24"/>
        </w:rPr>
        <w:t>μέσω των ΟΠΔ</w:t>
      </w:r>
      <w:r>
        <w:rPr>
          <w:rFonts w:ascii="Calibri" w:hAnsi="Calibri" w:cs="Calibri"/>
          <w:sz w:val="24"/>
          <w:szCs w:val="24"/>
        </w:rPr>
        <w:t>»</w:t>
      </w:r>
      <w:r w:rsidRPr="00F00E98">
        <w:rPr>
          <w:rFonts w:ascii="Calibri" w:hAnsi="Calibri" w:cs="Calibri"/>
          <w:sz w:val="24"/>
          <w:szCs w:val="24"/>
        </w:rPr>
        <w:t>.</w:t>
      </w:r>
    </w:p>
    <w:p w:rsidR="006760EA" w:rsidRDefault="006760EA" w:rsidP="006760EA">
      <w:pPr>
        <w:tabs>
          <w:tab w:val="left" w:pos="1980"/>
        </w:tabs>
        <w:spacing w:before="120" w:after="120" w:line="360" w:lineRule="auto"/>
        <w:jc w:val="both"/>
        <w:rPr>
          <w:rFonts w:ascii="Calibri" w:hAnsi="Calibri" w:cs="Calibri"/>
          <w:sz w:val="24"/>
        </w:rPr>
      </w:pPr>
      <w:r>
        <w:rPr>
          <w:rFonts w:ascii="Calibri" w:hAnsi="Calibri" w:cs="Calibri"/>
          <w:sz w:val="24"/>
        </w:rPr>
        <w:t xml:space="preserve">Κατόπιν των ανωτέρω σας υποβάλλουμε την </w:t>
      </w:r>
      <w:r w:rsidRPr="009F6D20">
        <w:rPr>
          <w:rFonts w:ascii="Calibri" w:hAnsi="Calibri" w:cs="Calibri"/>
          <w:sz w:val="24"/>
        </w:rPr>
        <w:t>έκθεση αποτελεσμάτων εκτέλεσης του προϋπολογισμού</w:t>
      </w:r>
      <w:r>
        <w:rPr>
          <w:rFonts w:ascii="Calibri" w:hAnsi="Calibri" w:cs="Calibri"/>
          <w:sz w:val="24"/>
        </w:rPr>
        <w:t xml:space="preserve"> του Δήμου μέχρι 30/9/2025 σύμφωνα με τα στοιχεία που προβλέπονται στην υπουργική απόφαση.</w:t>
      </w:r>
    </w:p>
    <w:p w:rsidR="006760EA" w:rsidRPr="00AD25BD" w:rsidRDefault="006760EA" w:rsidP="006760EA">
      <w:pPr>
        <w:tabs>
          <w:tab w:val="left" w:pos="1980"/>
        </w:tabs>
        <w:spacing w:before="120" w:after="120" w:line="360" w:lineRule="auto"/>
        <w:jc w:val="both"/>
        <w:rPr>
          <w:rFonts w:ascii="Calibri" w:hAnsi="Calibri" w:cs="Calibri"/>
          <w:sz w:val="24"/>
        </w:rPr>
        <w:sectPr w:rsidR="006760EA" w:rsidRPr="00AD25BD" w:rsidSect="0036105C">
          <w:footerReference w:type="default" r:id="rId8"/>
          <w:pgSz w:w="11907" w:h="16840" w:code="9"/>
          <w:pgMar w:top="567" w:right="1418" w:bottom="1701" w:left="1418" w:header="720" w:footer="720" w:gutter="0"/>
          <w:cols w:space="720"/>
        </w:sectPr>
      </w:pPr>
    </w:p>
    <w:tbl>
      <w:tblPr>
        <w:tblW w:w="14996" w:type="dxa"/>
        <w:jc w:val="center"/>
        <w:tblLook w:val="04A0"/>
      </w:tblPr>
      <w:tblGrid>
        <w:gridCol w:w="15200"/>
      </w:tblGrid>
      <w:tr w:rsidR="006760EA" w:rsidRPr="00202B94" w:rsidTr="00DC5D7B">
        <w:trPr>
          <w:trHeight w:val="260"/>
          <w:jc w:val="center"/>
        </w:trPr>
        <w:tc>
          <w:tcPr>
            <w:tcW w:w="14996" w:type="dxa"/>
            <w:tcBorders>
              <w:top w:val="nil"/>
              <w:left w:val="nil"/>
              <w:bottom w:val="nil"/>
              <w:right w:val="nil"/>
            </w:tcBorders>
            <w:shd w:val="clear" w:color="000000" w:fill="FFFFFF"/>
            <w:noWrap/>
            <w:vAlign w:val="center"/>
            <w:hideMark/>
          </w:tcPr>
          <w:p w:rsidR="006760EA" w:rsidRDefault="006760EA" w:rsidP="00DC5D7B">
            <w:pPr>
              <w:pStyle w:val="6"/>
              <w:rPr>
                <w:rStyle w:val="af5"/>
                <w:b w:val="0"/>
                <w:bCs w:val="0"/>
                <w:sz w:val="24"/>
                <w:szCs w:val="24"/>
              </w:rPr>
            </w:pPr>
            <w:bookmarkStart w:id="0" w:name="_Toc211508385"/>
            <w:r w:rsidRPr="00A00B7C">
              <w:rPr>
                <w:rStyle w:val="af5"/>
                <w:b w:val="0"/>
                <w:bCs w:val="0"/>
                <w:sz w:val="24"/>
                <w:szCs w:val="24"/>
              </w:rPr>
              <w:lastRenderedPageBreak/>
              <w:t xml:space="preserve">Αποτελέσματα εκτέλεσης Προϋπολογισμού Εσόδων </w:t>
            </w:r>
            <w:r>
              <w:rPr>
                <w:rStyle w:val="af5"/>
                <w:b w:val="0"/>
                <w:bCs w:val="0"/>
                <w:sz w:val="24"/>
                <w:szCs w:val="24"/>
              </w:rPr>
              <w:t>Γ</w:t>
            </w:r>
            <w:r w:rsidRPr="00A00B7C">
              <w:rPr>
                <w:rStyle w:val="af5"/>
                <w:b w:val="0"/>
                <w:bCs w:val="0"/>
                <w:sz w:val="24"/>
                <w:szCs w:val="24"/>
              </w:rPr>
              <w:t>' τριμήνου 2025</w:t>
            </w:r>
            <w:bookmarkEnd w:id="0"/>
          </w:p>
          <w:tbl>
            <w:tblPr>
              <w:tblW w:w="14780" w:type="dxa"/>
              <w:jc w:val="center"/>
              <w:tblLook w:val="04A0"/>
            </w:tblPr>
            <w:tblGrid>
              <w:gridCol w:w="616"/>
              <w:gridCol w:w="6520"/>
              <w:gridCol w:w="1440"/>
              <w:gridCol w:w="1520"/>
              <w:gridCol w:w="1020"/>
              <w:gridCol w:w="1460"/>
              <w:gridCol w:w="1020"/>
              <w:gridCol w:w="1220"/>
            </w:tblGrid>
            <w:tr w:rsidR="006760EA" w:rsidRPr="004C365D" w:rsidTr="00DC5D7B">
              <w:trPr>
                <w:trHeight w:val="285"/>
                <w:jc w:val="center"/>
              </w:trPr>
              <w:tc>
                <w:tcPr>
                  <w:tcW w:w="580" w:type="dxa"/>
                  <w:tcBorders>
                    <w:top w:val="nil"/>
                    <w:left w:val="nil"/>
                    <w:bottom w:val="nil"/>
                    <w:right w:val="nil"/>
                  </w:tcBorders>
                  <w:shd w:val="clear" w:color="000000" w:fill="FFFFFF"/>
                  <w:noWrap/>
                  <w:vAlign w:val="center"/>
                  <w:hideMark/>
                </w:tcPr>
                <w:p w:rsidR="006760EA" w:rsidRPr="004C365D" w:rsidRDefault="006760EA" w:rsidP="00DC5D7B">
                  <w:pPr>
                    <w:jc w:val="center"/>
                    <w:rPr>
                      <w:b/>
                      <w:bCs/>
                      <w:sz w:val="22"/>
                      <w:szCs w:val="22"/>
                      <w:lang w:bidi="he-IL"/>
                    </w:rPr>
                  </w:pPr>
                  <w:r w:rsidRPr="004C365D">
                    <w:rPr>
                      <w:b/>
                      <w:bCs/>
                      <w:sz w:val="22"/>
                      <w:szCs w:val="22"/>
                      <w:lang w:bidi="he-IL"/>
                    </w:rPr>
                    <w:t> </w:t>
                  </w:r>
                </w:p>
              </w:tc>
              <w:tc>
                <w:tcPr>
                  <w:tcW w:w="6520" w:type="dxa"/>
                  <w:tcBorders>
                    <w:top w:val="nil"/>
                    <w:left w:val="nil"/>
                    <w:bottom w:val="nil"/>
                    <w:right w:val="nil"/>
                  </w:tcBorders>
                  <w:shd w:val="clear" w:color="000000" w:fill="FFFFFF"/>
                  <w:noWrap/>
                  <w:vAlign w:val="center"/>
                  <w:hideMark/>
                </w:tcPr>
                <w:p w:rsidR="006760EA" w:rsidRPr="004C365D" w:rsidRDefault="006760EA" w:rsidP="00DC5D7B">
                  <w:pPr>
                    <w:jc w:val="center"/>
                    <w:rPr>
                      <w:b/>
                      <w:bCs/>
                      <w:sz w:val="22"/>
                      <w:szCs w:val="22"/>
                      <w:lang w:bidi="he-IL"/>
                    </w:rPr>
                  </w:pPr>
                  <w:r w:rsidRPr="004C365D">
                    <w:rPr>
                      <w:b/>
                      <w:bCs/>
                      <w:sz w:val="22"/>
                      <w:szCs w:val="22"/>
                      <w:lang w:bidi="he-IL"/>
                    </w:rPr>
                    <w:t> </w:t>
                  </w:r>
                </w:p>
              </w:tc>
              <w:tc>
                <w:tcPr>
                  <w:tcW w:w="1440" w:type="dxa"/>
                  <w:tcBorders>
                    <w:top w:val="nil"/>
                    <w:left w:val="nil"/>
                    <w:bottom w:val="nil"/>
                    <w:right w:val="nil"/>
                  </w:tcBorders>
                  <w:shd w:val="clear" w:color="000000" w:fill="FFFFFF"/>
                  <w:noWrap/>
                  <w:vAlign w:val="center"/>
                  <w:hideMark/>
                </w:tcPr>
                <w:p w:rsidR="006760EA" w:rsidRPr="004C365D" w:rsidRDefault="006760EA" w:rsidP="00DC5D7B">
                  <w:pPr>
                    <w:jc w:val="center"/>
                    <w:rPr>
                      <w:b/>
                      <w:bCs/>
                      <w:sz w:val="22"/>
                      <w:szCs w:val="22"/>
                      <w:lang w:bidi="he-IL"/>
                    </w:rPr>
                  </w:pPr>
                  <w:r w:rsidRPr="004C365D">
                    <w:rPr>
                      <w:b/>
                      <w:bCs/>
                      <w:sz w:val="22"/>
                      <w:szCs w:val="22"/>
                      <w:lang w:bidi="he-IL"/>
                    </w:rPr>
                    <w:t> </w:t>
                  </w:r>
                </w:p>
              </w:tc>
              <w:tc>
                <w:tcPr>
                  <w:tcW w:w="1520" w:type="dxa"/>
                  <w:tcBorders>
                    <w:top w:val="nil"/>
                    <w:left w:val="nil"/>
                    <w:bottom w:val="nil"/>
                    <w:right w:val="nil"/>
                  </w:tcBorders>
                  <w:shd w:val="clear" w:color="000000" w:fill="FFFFFF"/>
                  <w:noWrap/>
                  <w:vAlign w:val="center"/>
                  <w:hideMark/>
                </w:tcPr>
                <w:p w:rsidR="006760EA" w:rsidRPr="004C365D" w:rsidRDefault="006760EA" w:rsidP="00DC5D7B">
                  <w:pPr>
                    <w:jc w:val="center"/>
                    <w:rPr>
                      <w:b/>
                      <w:bCs/>
                      <w:sz w:val="16"/>
                      <w:szCs w:val="16"/>
                      <w:lang w:bidi="he-IL"/>
                    </w:rPr>
                  </w:pPr>
                  <w:r w:rsidRPr="004C365D">
                    <w:rPr>
                      <w:b/>
                      <w:bCs/>
                      <w:sz w:val="16"/>
                      <w:szCs w:val="16"/>
                      <w:lang w:bidi="he-IL"/>
                    </w:rPr>
                    <w:t> </w:t>
                  </w:r>
                </w:p>
              </w:tc>
              <w:tc>
                <w:tcPr>
                  <w:tcW w:w="1020" w:type="dxa"/>
                  <w:tcBorders>
                    <w:top w:val="nil"/>
                    <w:left w:val="nil"/>
                    <w:bottom w:val="nil"/>
                    <w:right w:val="nil"/>
                  </w:tcBorders>
                  <w:shd w:val="clear" w:color="000000" w:fill="FFFFFF"/>
                  <w:noWrap/>
                  <w:vAlign w:val="center"/>
                  <w:hideMark/>
                </w:tcPr>
                <w:p w:rsidR="006760EA" w:rsidRPr="004C365D" w:rsidRDefault="006760EA" w:rsidP="00DC5D7B">
                  <w:pPr>
                    <w:jc w:val="center"/>
                    <w:rPr>
                      <w:sz w:val="16"/>
                      <w:szCs w:val="16"/>
                      <w:lang w:bidi="he-IL"/>
                    </w:rPr>
                  </w:pPr>
                  <w:r w:rsidRPr="004C365D">
                    <w:rPr>
                      <w:sz w:val="16"/>
                      <w:szCs w:val="16"/>
                      <w:lang w:bidi="he-IL"/>
                    </w:rPr>
                    <w:t> </w:t>
                  </w:r>
                </w:p>
              </w:tc>
              <w:tc>
                <w:tcPr>
                  <w:tcW w:w="3700" w:type="dxa"/>
                  <w:gridSpan w:val="3"/>
                  <w:tcBorders>
                    <w:top w:val="nil"/>
                    <w:left w:val="nil"/>
                    <w:bottom w:val="single" w:sz="8" w:space="0" w:color="auto"/>
                    <w:right w:val="nil"/>
                  </w:tcBorders>
                  <w:shd w:val="clear" w:color="000000" w:fill="FFFFFF"/>
                  <w:noWrap/>
                  <w:vAlign w:val="center"/>
                  <w:hideMark/>
                </w:tcPr>
                <w:p w:rsidR="006760EA" w:rsidRPr="004C365D" w:rsidRDefault="006760EA" w:rsidP="00DC5D7B">
                  <w:pPr>
                    <w:jc w:val="center"/>
                    <w:rPr>
                      <w:i/>
                      <w:iCs/>
                      <w:sz w:val="16"/>
                      <w:szCs w:val="16"/>
                      <w:lang w:bidi="he-IL"/>
                    </w:rPr>
                  </w:pPr>
                  <w:r w:rsidRPr="004C365D">
                    <w:rPr>
                      <w:i/>
                      <w:iCs/>
                      <w:sz w:val="16"/>
                      <w:szCs w:val="16"/>
                      <w:lang w:bidi="he-IL"/>
                    </w:rPr>
                    <w:t>ΠΕΡΙΟΔΟΣ 1/1/2025 - 30./9/2025.</w:t>
                  </w:r>
                </w:p>
              </w:tc>
            </w:tr>
            <w:tr w:rsidR="006760EA" w:rsidRPr="004C365D" w:rsidTr="00DC5D7B">
              <w:trPr>
                <w:trHeight w:val="260"/>
                <w:jc w:val="center"/>
              </w:trPr>
              <w:tc>
                <w:tcPr>
                  <w:tcW w:w="580"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6760EA" w:rsidRPr="004C365D" w:rsidRDefault="006760EA" w:rsidP="00DC5D7B">
                  <w:pPr>
                    <w:jc w:val="center"/>
                    <w:rPr>
                      <w:b/>
                      <w:bCs/>
                      <w:lang w:bidi="he-IL"/>
                    </w:rPr>
                  </w:pPr>
                  <w:r w:rsidRPr="004C365D">
                    <w:rPr>
                      <w:b/>
                      <w:bCs/>
                      <w:lang w:bidi="he-IL"/>
                    </w:rPr>
                    <w:t>Κ.Α.</w:t>
                  </w:r>
                </w:p>
              </w:tc>
              <w:tc>
                <w:tcPr>
                  <w:tcW w:w="6520" w:type="dxa"/>
                  <w:vMerge w:val="restart"/>
                  <w:tcBorders>
                    <w:top w:val="single" w:sz="8" w:space="0" w:color="auto"/>
                    <w:left w:val="single" w:sz="4" w:space="0" w:color="auto"/>
                    <w:bottom w:val="single" w:sz="8" w:space="0" w:color="000000"/>
                    <w:right w:val="single" w:sz="8" w:space="0" w:color="auto"/>
                  </w:tcBorders>
                  <w:shd w:val="clear" w:color="000000" w:fill="D9D9D9"/>
                  <w:noWrap/>
                  <w:vAlign w:val="center"/>
                  <w:hideMark/>
                </w:tcPr>
                <w:p w:rsidR="006760EA" w:rsidRPr="004C365D" w:rsidRDefault="006760EA" w:rsidP="00DC5D7B">
                  <w:pPr>
                    <w:jc w:val="center"/>
                    <w:rPr>
                      <w:b/>
                      <w:bCs/>
                      <w:lang w:bidi="he-IL"/>
                    </w:rPr>
                  </w:pPr>
                  <w:r w:rsidRPr="004C365D">
                    <w:rPr>
                      <w:b/>
                      <w:bCs/>
                      <w:lang w:bidi="he-IL"/>
                    </w:rPr>
                    <w:t>ΑΝΑΚΕΦΑΛΑΙΩΣΗ ΕΣΟΔΩΝ</w:t>
                  </w:r>
                </w:p>
              </w:tc>
              <w:tc>
                <w:tcPr>
                  <w:tcW w:w="1440" w:type="dxa"/>
                  <w:tcBorders>
                    <w:top w:val="single" w:sz="8" w:space="0" w:color="auto"/>
                    <w:left w:val="nil"/>
                    <w:bottom w:val="single" w:sz="4" w:space="0" w:color="auto"/>
                    <w:right w:val="single" w:sz="8" w:space="0" w:color="auto"/>
                  </w:tcBorders>
                  <w:shd w:val="clear" w:color="000000" w:fill="D9D9D9"/>
                  <w:vAlign w:val="center"/>
                  <w:hideMark/>
                </w:tcPr>
                <w:p w:rsidR="006760EA" w:rsidRPr="004C365D" w:rsidRDefault="006760EA" w:rsidP="00DC5D7B">
                  <w:pPr>
                    <w:jc w:val="center"/>
                    <w:rPr>
                      <w:b/>
                      <w:bCs/>
                      <w:lang w:bidi="he-IL"/>
                    </w:rPr>
                  </w:pPr>
                  <w:proofErr w:type="spellStart"/>
                  <w:r w:rsidRPr="004C365D">
                    <w:rPr>
                      <w:b/>
                      <w:bCs/>
                      <w:lang w:bidi="he-IL"/>
                    </w:rPr>
                    <w:t>Προϋπ</w:t>
                  </w:r>
                  <w:proofErr w:type="spellEnd"/>
                  <w:r w:rsidRPr="004C365D">
                    <w:rPr>
                      <w:b/>
                      <w:bCs/>
                      <w:lang w:bidi="he-IL"/>
                    </w:rPr>
                    <w:t>/</w:t>
                  </w:r>
                  <w:proofErr w:type="spellStart"/>
                  <w:r w:rsidRPr="004C365D">
                    <w:rPr>
                      <w:b/>
                      <w:bCs/>
                      <w:lang w:bidi="he-IL"/>
                    </w:rPr>
                    <w:t>σμός</w:t>
                  </w:r>
                  <w:proofErr w:type="spellEnd"/>
                  <w:r w:rsidRPr="004C365D">
                    <w:rPr>
                      <w:b/>
                      <w:bCs/>
                      <w:lang w:bidi="he-IL"/>
                    </w:rPr>
                    <w:t xml:space="preserve"> </w:t>
                  </w:r>
                </w:p>
              </w:tc>
              <w:tc>
                <w:tcPr>
                  <w:tcW w:w="1520" w:type="dxa"/>
                  <w:tcBorders>
                    <w:top w:val="single" w:sz="8" w:space="0" w:color="auto"/>
                    <w:left w:val="nil"/>
                    <w:bottom w:val="single" w:sz="4" w:space="0" w:color="auto"/>
                    <w:right w:val="single" w:sz="4" w:space="0" w:color="auto"/>
                  </w:tcBorders>
                  <w:shd w:val="clear" w:color="000000" w:fill="D9D9D9"/>
                  <w:vAlign w:val="center"/>
                  <w:hideMark/>
                </w:tcPr>
                <w:p w:rsidR="006760EA" w:rsidRPr="004C365D" w:rsidRDefault="006760EA" w:rsidP="00DC5D7B">
                  <w:pPr>
                    <w:jc w:val="center"/>
                    <w:rPr>
                      <w:b/>
                      <w:bCs/>
                      <w:lang w:bidi="he-IL"/>
                    </w:rPr>
                  </w:pPr>
                  <w:r w:rsidRPr="004C365D">
                    <w:rPr>
                      <w:b/>
                      <w:bCs/>
                      <w:lang w:bidi="he-IL"/>
                    </w:rPr>
                    <w:t>Βεβαιωθέντα</w:t>
                  </w:r>
                </w:p>
              </w:tc>
              <w:tc>
                <w:tcPr>
                  <w:tcW w:w="1020" w:type="dxa"/>
                  <w:tcBorders>
                    <w:top w:val="single" w:sz="8" w:space="0" w:color="auto"/>
                    <w:left w:val="nil"/>
                    <w:bottom w:val="single" w:sz="4" w:space="0" w:color="auto"/>
                    <w:right w:val="nil"/>
                  </w:tcBorders>
                  <w:shd w:val="clear" w:color="000000" w:fill="D9D9D9"/>
                  <w:vAlign w:val="center"/>
                  <w:hideMark/>
                </w:tcPr>
                <w:p w:rsidR="006760EA" w:rsidRPr="004C365D" w:rsidRDefault="006760EA" w:rsidP="00DC5D7B">
                  <w:pPr>
                    <w:jc w:val="center"/>
                    <w:rPr>
                      <w:b/>
                      <w:bCs/>
                      <w:lang w:bidi="he-IL"/>
                    </w:rPr>
                  </w:pPr>
                  <w:r w:rsidRPr="004C365D">
                    <w:rPr>
                      <w:b/>
                      <w:bCs/>
                      <w:lang w:bidi="he-IL"/>
                    </w:rPr>
                    <w:t>%</w:t>
                  </w:r>
                </w:p>
              </w:tc>
              <w:tc>
                <w:tcPr>
                  <w:tcW w:w="1460" w:type="dxa"/>
                  <w:tcBorders>
                    <w:top w:val="nil"/>
                    <w:left w:val="single" w:sz="8" w:space="0" w:color="auto"/>
                    <w:bottom w:val="single" w:sz="4" w:space="0" w:color="auto"/>
                    <w:right w:val="single" w:sz="4" w:space="0" w:color="auto"/>
                  </w:tcBorders>
                  <w:shd w:val="clear" w:color="000000" w:fill="D9D9D9"/>
                  <w:vAlign w:val="center"/>
                  <w:hideMark/>
                </w:tcPr>
                <w:p w:rsidR="006760EA" w:rsidRPr="004C365D" w:rsidRDefault="006760EA" w:rsidP="00DC5D7B">
                  <w:pPr>
                    <w:jc w:val="center"/>
                    <w:rPr>
                      <w:b/>
                      <w:bCs/>
                      <w:lang w:bidi="he-IL"/>
                    </w:rPr>
                  </w:pPr>
                  <w:r w:rsidRPr="004C365D">
                    <w:rPr>
                      <w:b/>
                      <w:bCs/>
                      <w:lang w:bidi="he-IL"/>
                    </w:rPr>
                    <w:t>Εισπραχθέντα</w:t>
                  </w:r>
                </w:p>
              </w:tc>
              <w:tc>
                <w:tcPr>
                  <w:tcW w:w="2240" w:type="dxa"/>
                  <w:gridSpan w:val="2"/>
                  <w:tcBorders>
                    <w:top w:val="single" w:sz="8" w:space="0" w:color="auto"/>
                    <w:left w:val="nil"/>
                    <w:bottom w:val="single" w:sz="4" w:space="0" w:color="auto"/>
                    <w:right w:val="single" w:sz="8" w:space="0" w:color="000000"/>
                  </w:tcBorders>
                  <w:shd w:val="clear" w:color="000000" w:fill="D9D9D9"/>
                  <w:vAlign w:val="center"/>
                  <w:hideMark/>
                </w:tcPr>
                <w:p w:rsidR="006760EA" w:rsidRPr="004C365D" w:rsidRDefault="006760EA" w:rsidP="00DC5D7B">
                  <w:pPr>
                    <w:jc w:val="center"/>
                    <w:rPr>
                      <w:b/>
                      <w:bCs/>
                      <w:lang w:bidi="he-IL"/>
                    </w:rPr>
                  </w:pPr>
                  <w:r w:rsidRPr="004C365D">
                    <w:rPr>
                      <w:b/>
                      <w:bCs/>
                      <w:lang w:bidi="he-IL"/>
                    </w:rPr>
                    <w:t>%</w:t>
                  </w:r>
                </w:p>
              </w:tc>
            </w:tr>
            <w:tr w:rsidR="006760EA" w:rsidRPr="004C365D" w:rsidTr="00DC5D7B">
              <w:trPr>
                <w:trHeight w:val="72"/>
                <w:jc w:val="center"/>
              </w:trPr>
              <w:tc>
                <w:tcPr>
                  <w:tcW w:w="580" w:type="dxa"/>
                  <w:vMerge/>
                  <w:tcBorders>
                    <w:top w:val="single" w:sz="8" w:space="0" w:color="auto"/>
                    <w:left w:val="single" w:sz="8" w:space="0" w:color="auto"/>
                    <w:bottom w:val="single" w:sz="8" w:space="0" w:color="000000"/>
                    <w:right w:val="single" w:sz="4" w:space="0" w:color="auto"/>
                  </w:tcBorders>
                  <w:vAlign w:val="center"/>
                  <w:hideMark/>
                </w:tcPr>
                <w:p w:rsidR="006760EA" w:rsidRPr="004C365D" w:rsidRDefault="006760EA" w:rsidP="00DC5D7B">
                  <w:pPr>
                    <w:rPr>
                      <w:b/>
                      <w:bCs/>
                      <w:lang w:bidi="he-IL"/>
                    </w:rPr>
                  </w:pPr>
                </w:p>
              </w:tc>
              <w:tc>
                <w:tcPr>
                  <w:tcW w:w="6520" w:type="dxa"/>
                  <w:vMerge/>
                  <w:tcBorders>
                    <w:top w:val="single" w:sz="8" w:space="0" w:color="auto"/>
                    <w:left w:val="single" w:sz="4" w:space="0" w:color="auto"/>
                    <w:bottom w:val="single" w:sz="8" w:space="0" w:color="000000"/>
                    <w:right w:val="single" w:sz="8" w:space="0" w:color="auto"/>
                  </w:tcBorders>
                  <w:vAlign w:val="center"/>
                  <w:hideMark/>
                </w:tcPr>
                <w:p w:rsidR="006760EA" w:rsidRPr="004C365D" w:rsidRDefault="006760EA" w:rsidP="00DC5D7B">
                  <w:pPr>
                    <w:rPr>
                      <w:b/>
                      <w:bCs/>
                      <w:lang w:bidi="he-IL"/>
                    </w:rPr>
                  </w:pPr>
                </w:p>
              </w:tc>
              <w:tc>
                <w:tcPr>
                  <w:tcW w:w="1440" w:type="dxa"/>
                  <w:tcBorders>
                    <w:top w:val="nil"/>
                    <w:left w:val="nil"/>
                    <w:bottom w:val="single" w:sz="8" w:space="0" w:color="auto"/>
                    <w:right w:val="single" w:sz="8"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1</w:t>
                  </w:r>
                </w:p>
              </w:tc>
              <w:tc>
                <w:tcPr>
                  <w:tcW w:w="1520" w:type="dxa"/>
                  <w:tcBorders>
                    <w:top w:val="nil"/>
                    <w:left w:val="nil"/>
                    <w:bottom w:val="single" w:sz="8" w:space="0" w:color="auto"/>
                    <w:right w:val="single" w:sz="4"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2</w:t>
                  </w:r>
                </w:p>
              </w:tc>
              <w:tc>
                <w:tcPr>
                  <w:tcW w:w="1020" w:type="dxa"/>
                  <w:tcBorders>
                    <w:top w:val="nil"/>
                    <w:left w:val="nil"/>
                    <w:bottom w:val="single" w:sz="8" w:space="0" w:color="auto"/>
                    <w:right w:val="single" w:sz="4"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2/1</w:t>
                  </w:r>
                </w:p>
              </w:tc>
              <w:tc>
                <w:tcPr>
                  <w:tcW w:w="1460" w:type="dxa"/>
                  <w:tcBorders>
                    <w:top w:val="nil"/>
                    <w:left w:val="single" w:sz="8" w:space="0" w:color="auto"/>
                    <w:bottom w:val="single" w:sz="8" w:space="0" w:color="auto"/>
                    <w:right w:val="single" w:sz="4"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3</w:t>
                  </w:r>
                </w:p>
              </w:tc>
              <w:tc>
                <w:tcPr>
                  <w:tcW w:w="1020" w:type="dxa"/>
                  <w:tcBorders>
                    <w:top w:val="nil"/>
                    <w:left w:val="nil"/>
                    <w:bottom w:val="single" w:sz="8" w:space="0" w:color="auto"/>
                    <w:right w:val="single" w:sz="4"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3/1</w:t>
                  </w:r>
                </w:p>
              </w:tc>
              <w:tc>
                <w:tcPr>
                  <w:tcW w:w="1220" w:type="dxa"/>
                  <w:tcBorders>
                    <w:top w:val="nil"/>
                    <w:left w:val="nil"/>
                    <w:bottom w:val="single" w:sz="8" w:space="0" w:color="auto"/>
                    <w:right w:val="single" w:sz="8" w:space="0" w:color="auto"/>
                  </w:tcBorders>
                  <w:shd w:val="clear" w:color="000000" w:fill="D9D9D9"/>
                  <w:vAlign w:val="center"/>
                  <w:hideMark/>
                </w:tcPr>
                <w:p w:rsidR="006760EA" w:rsidRPr="004C365D" w:rsidRDefault="006760EA" w:rsidP="00DC5D7B">
                  <w:pPr>
                    <w:jc w:val="center"/>
                    <w:rPr>
                      <w:sz w:val="18"/>
                      <w:szCs w:val="18"/>
                      <w:lang w:bidi="he-IL"/>
                    </w:rPr>
                  </w:pPr>
                  <w:r w:rsidRPr="004C365D">
                    <w:rPr>
                      <w:sz w:val="18"/>
                      <w:szCs w:val="18"/>
                      <w:lang w:bidi="he-IL"/>
                    </w:rPr>
                    <w:t>3/2</w:t>
                  </w:r>
                </w:p>
              </w:tc>
            </w:tr>
            <w:tr w:rsidR="006760EA" w:rsidRPr="004C365D" w:rsidTr="00DC5D7B">
              <w:trPr>
                <w:trHeight w:val="246"/>
                <w:jc w:val="center"/>
              </w:trPr>
              <w:tc>
                <w:tcPr>
                  <w:tcW w:w="58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rPr>
                      <w:b/>
                      <w:bCs/>
                      <w:sz w:val="18"/>
                      <w:szCs w:val="18"/>
                      <w:lang w:bidi="he-IL"/>
                    </w:rPr>
                  </w:pPr>
                  <w:r w:rsidRPr="004C365D">
                    <w:rPr>
                      <w:b/>
                      <w:bCs/>
                      <w:sz w:val="18"/>
                      <w:szCs w:val="18"/>
                      <w:lang w:bidi="he-IL"/>
                    </w:rPr>
                    <w:t>0</w:t>
                  </w:r>
                </w:p>
              </w:tc>
              <w:tc>
                <w:tcPr>
                  <w:tcW w:w="6520" w:type="dxa"/>
                  <w:tcBorders>
                    <w:top w:val="nil"/>
                    <w:left w:val="nil"/>
                    <w:bottom w:val="single" w:sz="4" w:space="0" w:color="auto"/>
                    <w:right w:val="nil"/>
                  </w:tcBorders>
                  <w:shd w:val="clear" w:color="000000" w:fill="FFFF99"/>
                  <w:vAlign w:val="center"/>
                  <w:hideMark/>
                </w:tcPr>
                <w:p w:rsidR="006760EA" w:rsidRPr="004C365D" w:rsidRDefault="006760EA" w:rsidP="00DC5D7B">
                  <w:pPr>
                    <w:rPr>
                      <w:b/>
                      <w:bCs/>
                      <w:sz w:val="18"/>
                      <w:szCs w:val="18"/>
                      <w:lang w:bidi="he-IL"/>
                    </w:rPr>
                  </w:pPr>
                  <w:r w:rsidRPr="004C365D">
                    <w:rPr>
                      <w:b/>
                      <w:bCs/>
                      <w:sz w:val="18"/>
                      <w:szCs w:val="18"/>
                      <w:lang w:bidi="he-IL"/>
                    </w:rPr>
                    <w:t>Τακτικά έσοδα</w:t>
                  </w:r>
                </w:p>
              </w:tc>
              <w:tc>
                <w:tcPr>
                  <w:tcW w:w="144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11.665.707,66</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8.251.388,71</w:t>
                  </w:r>
                </w:p>
              </w:tc>
              <w:tc>
                <w:tcPr>
                  <w:tcW w:w="1020" w:type="dxa"/>
                  <w:tcBorders>
                    <w:top w:val="nil"/>
                    <w:left w:val="nil"/>
                    <w:bottom w:val="single" w:sz="4" w:space="0" w:color="auto"/>
                    <w:right w:val="nil"/>
                  </w:tcBorders>
                  <w:shd w:val="clear" w:color="000000" w:fill="FFFF99"/>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70,73%</w:t>
                  </w:r>
                </w:p>
              </w:tc>
              <w:tc>
                <w:tcPr>
                  <w:tcW w:w="146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8.088.016,55</w:t>
                  </w:r>
                </w:p>
              </w:tc>
              <w:tc>
                <w:tcPr>
                  <w:tcW w:w="1020" w:type="dxa"/>
                  <w:tcBorders>
                    <w:top w:val="nil"/>
                    <w:left w:val="nil"/>
                    <w:bottom w:val="single" w:sz="4" w:space="0" w:color="auto"/>
                    <w:right w:val="single" w:sz="4" w:space="0" w:color="auto"/>
                  </w:tcBorders>
                  <w:shd w:val="clear" w:color="000000" w:fill="FFFF99"/>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69,33%</w:t>
                  </w:r>
                </w:p>
              </w:tc>
              <w:tc>
                <w:tcPr>
                  <w:tcW w:w="1220" w:type="dxa"/>
                  <w:tcBorders>
                    <w:top w:val="nil"/>
                    <w:left w:val="nil"/>
                    <w:bottom w:val="single" w:sz="4" w:space="0" w:color="auto"/>
                    <w:right w:val="single" w:sz="8" w:space="0" w:color="auto"/>
                  </w:tcBorders>
                  <w:shd w:val="clear" w:color="000000" w:fill="FFFF99"/>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98,02%</w:t>
                  </w:r>
                </w:p>
              </w:tc>
            </w:tr>
            <w:tr w:rsidR="006760EA" w:rsidRPr="004C365D" w:rsidTr="00DC5D7B">
              <w:trPr>
                <w:trHeight w:val="27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01</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Πρόσοδοι από ακίνητη περιούσια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311.000,00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220.080,22</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70,77%</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75.903,47</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24,41%</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34,49%</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02</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Πρόσοδοι από κινητή περιούσια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135.410,00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59.377,17</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43,85%</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59.377,17</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43,85%</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03</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Έσοδα από ανταποδοτικά τέλη και δικαιώματα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2.080.150,00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1.375.646,60</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66,13%</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1.375.646,60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66,13%</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04</w:t>
                  </w:r>
                </w:p>
              </w:tc>
              <w:tc>
                <w:tcPr>
                  <w:tcW w:w="6520" w:type="dxa"/>
                  <w:tcBorders>
                    <w:top w:val="nil"/>
                    <w:left w:val="nil"/>
                    <w:bottom w:val="single" w:sz="4" w:space="0" w:color="auto"/>
                    <w:right w:val="nil"/>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Έσοδα από λοιπά τέλη - δικαιώματα και παροχή υπηρεσιών</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597.340,00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413.251,11</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69,18%</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412.055,70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68,98%</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99,71%</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05</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Φόροι και εισφορές</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261.712,00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189.784,06</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72,52%</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189.784,06</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72,52%</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06</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Έσοδα από επιχορηγήσεις</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8.181.948,27</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5.965.962,96</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72,92%</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5.965.962,96</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72,92%</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07</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Λοιπά τακτικά έσοδα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98.147,39</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27.286,59</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27,80%</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9.286,59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9,46%</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34,03%</w:t>
                  </w:r>
                </w:p>
              </w:tc>
            </w:tr>
            <w:tr w:rsidR="006760EA" w:rsidRPr="004C365D" w:rsidTr="00DC5D7B">
              <w:trPr>
                <w:trHeight w:val="201"/>
                <w:jc w:val="center"/>
              </w:trPr>
              <w:tc>
                <w:tcPr>
                  <w:tcW w:w="58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rPr>
                      <w:b/>
                      <w:bCs/>
                      <w:sz w:val="18"/>
                      <w:szCs w:val="18"/>
                      <w:lang w:bidi="he-IL"/>
                    </w:rPr>
                  </w:pPr>
                  <w:r w:rsidRPr="004C365D">
                    <w:rPr>
                      <w:b/>
                      <w:bCs/>
                      <w:sz w:val="18"/>
                      <w:szCs w:val="18"/>
                      <w:lang w:bidi="he-IL"/>
                    </w:rPr>
                    <w:t>1</w:t>
                  </w:r>
                </w:p>
              </w:tc>
              <w:tc>
                <w:tcPr>
                  <w:tcW w:w="6520" w:type="dxa"/>
                  <w:tcBorders>
                    <w:top w:val="nil"/>
                    <w:left w:val="nil"/>
                    <w:bottom w:val="single" w:sz="4" w:space="0" w:color="auto"/>
                    <w:right w:val="nil"/>
                  </w:tcBorders>
                  <w:shd w:val="clear" w:color="000000" w:fill="FFFF99"/>
                  <w:vAlign w:val="center"/>
                  <w:hideMark/>
                </w:tcPr>
                <w:p w:rsidR="006760EA" w:rsidRPr="004C365D" w:rsidRDefault="006760EA" w:rsidP="00DC5D7B">
                  <w:pPr>
                    <w:jc w:val="both"/>
                    <w:rPr>
                      <w:b/>
                      <w:bCs/>
                      <w:sz w:val="18"/>
                      <w:szCs w:val="18"/>
                      <w:lang w:bidi="he-IL"/>
                    </w:rPr>
                  </w:pPr>
                  <w:r w:rsidRPr="004C365D">
                    <w:rPr>
                      <w:b/>
                      <w:bCs/>
                      <w:sz w:val="18"/>
                      <w:szCs w:val="18"/>
                      <w:lang w:bidi="he-IL"/>
                    </w:rPr>
                    <w:t>Έκτακτα έσοδα</w:t>
                  </w:r>
                </w:p>
              </w:tc>
              <w:tc>
                <w:tcPr>
                  <w:tcW w:w="144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10.204.015,06</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3.315.688,33</w:t>
                  </w:r>
                </w:p>
              </w:tc>
              <w:tc>
                <w:tcPr>
                  <w:tcW w:w="1020" w:type="dxa"/>
                  <w:tcBorders>
                    <w:top w:val="nil"/>
                    <w:left w:val="nil"/>
                    <w:bottom w:val="single" w:sz="4" w:space="0" w:color="auto"/>
                    <w:right w:val="nil"/>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32,49%</w:t>
                  </w:r>
                </w:p>
              </w:tc>
              <w:tc>
                <w:tcPr>
                  <w:tcW w:w="146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3.314.982,68</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32,49%</w:t>
                  </w:r>
                </w:p>
              </w:tc>
              <w:tc>
                <w:tcPr>
                  <w:tcW w:w="1220" w:type="dxa"/>
                  <w:tcBorders>
                    <w:top w:val="nil"/>
                    <w:left w:val="nil"/>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99,98%</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11</w:t>
                  </w:r>
                </w:p>
              </w:tc>
              <w:tc>
                <w:tcPr>
                  <w:tcW w:w="6520" w:type="dxa"/>
                  <w:tcBorders>
                    <w:top w:val="nil"/>
                    <w:left w:val="nil"/>
                    <w:bottom w:val="single" w:sz="4" w:space="0" w:color="auto"/>
                    <w:right w:val="nil"/>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Έσοδα από την εκποίηση κινητής και ακίνητης περιούσιας</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12</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Επιχορηγήσεις για κάλυψη λειτουργικών δαπανών</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1.378.851,89</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550.079,79</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39,89%</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550.079,79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39,89%</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13</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Επιχορηγήσεις για επενδυτικές δαπάνες</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8.599.504,65</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2.581.548,91</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30,02%</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2.581.548,91</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30,02%</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14</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 xml:space="preserve">Δωρεές - κληρονομιές </w:t>
                  </w:r>
                  <w:r>
                    <w:rPr>
                      <w:sz w:val="18"/>
                      <w:szCs w:val="18"/>
                      <w:lang w:bidi="he-IL"/>
                    </w:rPr>
                    <w:t>–</w:t>
                  </w:r>
                  <w:r w:rsidRPr="004C365D">
                    <w:rPr>
                      <w:sz w:val="18"/>
                      <w:szCs w:val="18"/>
                      <w:lang w:bidi="he-IL"/>
                    </w:rPr>
                    <w:t xml:space="preserve"> κληροδοσίες</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413,70</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413,70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 </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15</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 xml:space="preserve">Προσαυξήσεις - πρόστιμα </w:t>
                  </w:r>
                  <w:r>
                    <w:rPr>
                      <w:sz w:val="18"/>
                      <w:szCs w:val="18"/>
                      <w:lang w:bidi="he-IL"/>
                    </w:rPr>
                    <w:t>–</w:t>
                  </w:r>
                  <w:r w:rsidRPr="004C365D">
                    <w:rPr>
                      <w:sz w:val="18"/>
                      <w:szCs w:val="18"/>
                      <w:lang w:bidi="he-IL"/>
                    </w:rPr>
                    <w:t xml:space="preserve"> παράβολα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136.050,00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182.715,65</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134,30%</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182.010,00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133,78%</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99,61%</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16</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Λοιπά έκτακτα έσοδα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89.608,52</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930,28</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1,04%</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930,28</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1,04%</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27"/>
                <w:jc w:val="center"/>
              </w:trPr>
              <w:tc>
                <w:tcPr>
                  <w:tcW w:w="58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rPr>
                      <w:b/>
                      <w:bCs/>
                      <w:sz w:val="18"/>
                      <w:szCs w:val="18"/>
                      <w:lang w:bidi="he-IL"/>
                    </w:rPr>
                  </w:pPr>
                  <w:r w:rsidRPr="004C365D">
                    <w:rPr>
                      <w:b/>
                      <w:bCs/>
                      <w:sz w:val="18"/>
                      <w:szCs w:val="18"/>
                      <w:lang w:bidi="he-IL"/>
                    </w:rPr>
                    <w:t>2</w:t>
                  </w:r>
                </w:p>
              </w:tc>
              <w:tc>
                <w:tcPr>
                  <w:tcW w:w="6520" w:type="dxa"/>
                  <w:tcBorders>
                    <w:top w:val="nil"/>
                    <w:left w:val="nil"/>
                    <w:bottom w:val="single" w:sz="4" w:space="0" w:color="auto"/>
                    <w:right w:val="nil"/>
                  </w:tcBorders>
                  <w:shd w:val="clear" w:color="000000" w:fill="FFFF99"/>
                  <w:vAlign w:val="center"/>
                  <w:hideMark/>
                </w:tcPr>
                <w:p w:rsidR="006760EA" w:rsidRPr="004C365D" w:rsidRDefault="006760EA" w:rsidP="00DC5D7B">
                  <w:pPr>
                    <w:rPr>
                      <w:b/>
                      <w:bCs/>
                      <w:sz w:val="18"/>
                      <w:szCs w:val="18"/>
                      <w:lang w:bidi="he-IL"/>
                    </w:rPr>
                  </w:pPr>
                  <w:r w:rsidRPr="004C365D">
                    <w:rPr>
                      <w:b/>
                      <w:bCs/>
                      <w:sz w:val="18"/>
                      <w:szCs w:val="18"/>
                      <w:lang w:bidi="he-IL"/>
                    </w:rPr>
                    <w:t xml:space="preserve">Έσοδα παρελθόντων οικονομικών ετών </w:t>
                  </w:r>
                </w:p>
              </w:tc>
              <w:tc>
                <w:tcPr>
                  <w:tcW w:w="144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697.815,00</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1.056.278,92</w:t>
                  </w:r>
                </w:p>
              </w:tc>
              <w:tc>
                <w:tcPr>
                  <w:tcW w:w="1020" w:type="dxa"/>
                  <w:tcBorders>
                    <w:top w:val="nil"/>
                    <w:left w:val="nil"/>
                    <w:bottom w:val="single" w:sz="4" w:space="0" w:color="auto"/>
                    <w:right w:val="nil"/>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151,37%</w:t>
                  </w:r>
                </w:p>
              </w:tc>
              <w:tc>
                <w:tcPr>
                  <w:tcW w:w="146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946.269,63</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135,60%</w:t>
                  </w:r>
                </w:p>
              </w:tc>
              <w:tc>
                <w:tcPr>
                  <w:tcW w:w="1220" w:type="dxa"/>
                  <w:tcBorders>
                    <w:top w:val="nil"/>
                    <w:left w:val="nil"/>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89,59%</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21</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Τακτικά έσοδα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686.715,00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823.567,88</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119,93%</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713.558,59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103,91%</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86,64%</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22</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Έκτακτα έσοδα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11.100,00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232.711,04</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2096,50%</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232.711,04</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2096,50%</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183"/>
                <w:jc w:val="center"/>
              </w:trPr>
              <w:tc>
                <w:tcPr>
                  <w:tcW w:w="58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rPr>
                      <w:b/>
                      <w:bCs/>
                      <w:sz w:val="18"/>
                      <w:szCs w:val="18"/>
                      <w:lang w:bidi="he-IL"/>
                    </w:rPr>
                  </w:pPr>
                  <w:r w:rsidRPr="004C365D">
                    <w:rPr>
                      <w:b/>
                      <w:bCs/>
                      <w:sz w:val="18"/>
                      <w:szCs w:val="18"/>
                      <w:lang w:bidi="he-IL"/>
                    </w:rPr>
                    <w:t>3</w:t>
                  </w:r>
                </w:p>
              </w:tc>
              <w:tc>
                <w:tcPr>
                  <w:tcW w:w="6520" w:type="dxa"/>
                  <w:tcBorders>
                    <w:top w:val="nil"/>
                    <w:left w:val="nil"/>
                    <w:bottom w:val="single" w:sz="4" w:space="0" w:color="auto"/>
                    <w:right w:val="nil"/>
                  </w:tcBorders>
                  <w:shd w:val="clear" w:color="000000" w:fill="FFFF99"/>
                  <w:vAlign w:val="center"/>
                  <w:hideMark/>
                </w:tcPr>
                <w:p w:rsidR="006760EA" w:rsidRPr="004C365D" w:rsidRDefault="006760EA" w:rsidP="00DC5D7B">
                  <w:pPr>
                    <w:rPr>
                      <w:b/>
                      <w:bCs/>
                      <w:sz w:val="18"/>
                      <w:szCs w:val="18"/>
                      <w:lang w:bidi="he-IL"/>
                    </w:rPr>
                  </w:pPr>
                  <w:r w:rsidRPr="004C365D">
                    <w:rPr>
                      <w:b/>
                      <w:bCs/>
                      <w:sz w:val="18"/>
                      <w:szCs w:val="18"/>
                      <w:lang w:bidi="he-IL"/>
                    </w:rPr>
                    <w:t>Εισπράξεις από δάνεια και απαιτήσεις από Π.Ο.Ε.</w:t>
                  </w:r>
                </w:p>
              </w:tc>
              <w:tc>
                <w:tcPr>
                  <w:tcW w:w="144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7.053.501,96</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5.433.424,49</w:t>
                  </w:r>
                </w:p>
              </w:tc>
              <w:tc>
                <w:tcPr>
                  <w:tcW w:w="1020" w:type="dxa"/>
                  <w:tcBorders>
                    <w:top w:val="nil"/>
                    <w:left w:val="nil"/>
                    <w:bottom w:val="single" w:sz="4" w:space="0" w:color="auto"/>
                    <w:right w:val="nil"/>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77,03%</w:t>
                  </w:r>
                </w:p>
              </w:tc>
              <w:tc>
                <w:tcPr>
                  <w:tcW w:w="146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783.272,44</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11,10%</w:t>
                  </w:r>
                </w:p>
              </w:tc>
              <w:tc>
                <w:tcPr>
                  <w:tcW w:w="1220" w:type="dxa"/>
                  <w:tcBorders>
                    <w:top w:val="nil"/>
                    <w:left w:val="nil"/>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14,42%</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31</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Εισπράξεις από δάνεια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2.098.934,42</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479.607,89</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22,85%</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479.607,89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22,85%</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100,00%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32</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Εισπρακτέα υπόλοιπα προηγούμενων οικονομικών ετών</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4.954.567,54</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4.953.816,60</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99,98%</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303.664,55</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6,13%</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6,13%</w:t>
                  </w:r>
                </w:p>
              </w:tc>
            </w:tr>
            <w:tr w:rsidR="006760EA" w:rsidRPr="004C365D" w:rsidTr="00DC5D7B">
              <w:trPr>
                <w:trHeight w:val="265"/>
                <w:jc w:val="center"/>
              </w:trPr>
              <w:tc>
                <w:tcPr>
                  <w:tcW w:w="580" w:type="dxa"/>
                  <w:tcBorders>
                    <w:top w:val="nil"/>
                    <w:left w:val="single" w:sz="8" w:space="0" w:color="auto"/>
                    <w:bottom w:val="single" w:sz="4" w:space="0" w:color="auto"/>
                    <w:right w:val="single" w:sz="4" w:space="0" w:color="auto"/>
                  </w:tcBorders>
                  <w:shd w:val="clear" w:color="000000" w:fill="FFFF99"/>
                  <w:noWrap/>
                  <w:vAlign w:val="center"/>
                  <w:hideMark/>
                </w:tcPr>
                <w:p w:rsidR="006760EA" w:rsidRPr="004C365D" w:rsidRDefault="006760EA" w:rsidP="00DC5D7B">
                  <w:pPr>
                    <w:rPr>
                      <w:b/>
                      <w:bCs/>
                      <w:sz w:val="18"/>
                      <w:szCs w:val="18"/>
                      <w:lang w:bidi="he-IL"/>
                    </w:rPr>
                  </w:pPr>
                  <w:r w:rsidRPr="004C365D">
                    <w:rPr>
                      <w:b/>
                      <w:bCs/>
                      <w:sz w:val="18"/>
                      <w:szCs w:val="18"/>
                      <w:lang w:bidi="he-IL"/>
                    </w:rPr>
                    <w:t>4</w:t>
                  </w:r>
                </w:p>
              </w:tc>
              <w:tc>
                <w:tcPr>
                  <w:tcW w:w="6520" w:type="dxa"/>
                  <w:tcBorders>
                    <w:top w:val="nil"/>
                    <w:left w:val="nil"/>
                    <w:bottom w:val="single" w:sz="4" w:space="0" w:color="auto"/>
                    <w:right w:val="nil"/>
                  </w:tcBorders>
                  <w:shd w:val="clear" w:color="000000" w:fill="FFFF99"/>
                  <w:vAlign w:val="center"/>
                  <w:hideMark/>
                </w:tcPr>
                <w:p w:rsidR="006760EA" w:rsidRPr="004C365D" w:rsidRDefault="006760EA" w:rsidP="00DC5D7B">
                  <w:pPr>
                    <w:rPr>
                      <w:b/>
                      <w:bCs/>
                      <w:sz w:val="18"/>
                      <w:szCs w:val="18"/>
                      <w:lang w:bidi="he-IL"/>
                    </w:rPr>
                  </w:pPr>
                  <w:r w:rsidRPr="004C365D">
                    <w:rPr>
                      <w:b/>
                      <w:bCs/>
                      <w:sz w:val="18"/>
                      <w:szCs w:val="18"/>
                      <w:lang w:bidi="he-IL"/>
                    </w:rPr>
                    <w:t>Εισπράξεις υπέρ Δημοσίου και τρίτων</w:t>
                  </w:r>
                </w:p>
              </w:tc>
              <w:tc>
                <w:tcPr>
                  <w:tcW w:w="144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4.433.000,00</w:t>
                  </w:r>
                </w:p>
              </w:tc>
              <w:tc>
                <w:tcPr>
                  <w:tcW w:w="1520" w:type="dxa"/>
                  <w:tcBorders>
                    <w:top w:val="nil"/>
                    <w:left w:val="nil"/>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2.545.184,64</w:t>
                  </w:r>
                </w:p>
              </w:tc>
              <w:tc>
                <w:tcPr>
                  <w:tcW w:w="1020" w:type="dxa"/>
                  <w:tcBorders>
                    <w:top w:val="nil"/>
                    <w:left w:val="single" w:sz="4" w:space="0" w:color="auto"/>
                    <w:bottom w:val="single" w:sz="4" w:space="0" w:color="auto"/>
                    <w:right w:val="nil"/>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57,41%</w:t>
                  </w:r>
                </w:p>
              </w:tc>
              <w:tc>
                <w:tcPr>
                  <w:tcW w:w="1460" w:type="dxa"/>
                  <w:tcBorders>
                    <w:top w:val="nil"/>
                    <w:left w:val="single" w:sz="8" w:space="0" w:color="auto"/>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2.531.038,64</w:t>
                  </w:r>
                </w:p>
              </w:tc>
              <w:tc>
                <w:tcPr>
                  <w:tcW w:w="1020" w:type="dxa"/>
                  <w:tcBorders>
                    <w:top w:val="nil"/>
                    <w:left w:val="single" w:sz="4" w:space="0" w:color="auto"/>
                    <w:bottom w:val="single" w:sz="4" w:space="0" w:color="auto"/>
                    <w:right w:val="single" w:sz="4"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57,10%</w:t>
                  </w:r>
                </w:p>
              </w:tc>
              <w:tc>
                <w:tcPr>
                  <w:tcW w:w="1220" w:type="dxa"/>
                  <w:tcBorders>
                    <w:top w:val="nil"/>
                    <w:left w:val="nil"/>
                    <w:bottom w:val="single" w:sz="4" w:space="0" w:color="auto"/>
                    <w:right w:val="single" w:sz="8" w:space="0" w:color="auto"/>
                  </w:tcBorders>
                  <w:shd w:val="clear" w:color="000000" w:fill="FFFF9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99,44%</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41</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Εισπράξεις υπέρ του δημόσιου</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3.559.200,00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2.315.305,64</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65,05%</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2.301.159,64</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64,65%</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64,65%</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42</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r w:rsidRPr="004C365D">
                    <w:rPr>
                      <w:sz w:val="18"/>
                      <w:szCs w:val="18"/>
                      <w:lang w:bidi="he-IL"/>
                    </w:rPr>
                    <w:t>Επιστροφές χρημάτων</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330.500,00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4.249,00</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1,29%</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4.249,00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1,29%</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1,29%</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sz w:val="18"/>
                      <w:szCs w:val="18"/>
                      <w:lang w:bidi="he-IL"/>
                    </w:rPr>
                  </w:pPr>
                  <w:r w:rsidRPr="004C365D">
                    <w:rPr>
                      <w:sz w:val="18"/>
                      <w:szCs w:val="18"/>
                      <w:lang w:bidi="he-IL"/>
                    </w:rPr>
                    <w:t>43</w:t>
                  </w:r>
                </w:p>
              </w:tc>
              <w:tc>
                <w:tcPr>
                  <w:tcW w:w="6520" w:type="dxa"/>
                  <w:tcBorders>
                    <w:top w:val="nil"/>
                    <w:left w:val="nil"/>
                    <w:bottom w:val="single" w:sz="4" w:space="0" w:color="auto"/>
                    <w:right w:val="nil"/>
                  </w:tcBorders>
                  <w:shd w:val="clear" w:color="000000" w:fill="FFFFFF"/>
                  <w:vAlign w:val="center"/>
                  <w:hideMark/>
                </w:tcPr>
                <w:p w:rsidR="006760EA" w:rsidRPr="004C365D" w:rsidRDefault="006760EA" w:rsidP="00DC5D7B">
                  <w:pPr>
                    <w:rPr>
                      <w:sz w:val="18"/>
                      <w:szCs w:val="18"/>
                      <w:lang w:bidi="he-IL"/>
                    </w:rPr>
                  </w:pPr>
                  <w:proofErr w:type="spellStart"/>
                  <w:r w:rsidRPr="004C365D">
                    <w:rPr>
                      <w:sz w:val="18"/>
                      <w:szCs w:val="18"/>
                      <w:lang w:bidi="he-IL"/>
                    </w:rPr>
                    <w:t>Εσοδα</w:t>
                  </w:r>
                  <w:proofErr w:type="spellEnd"/>
                  <w:r w:rsidRPr="004C365D">
                    <w:rPr>
                      <w:sz w:val="18"/>
                      <w:szCs w:val="18"/>
                      <w:lang w:bidi="he-IL"/>
                    </w:rPr>
                    <w:t xml:space="preserve"> προς απόδοση σε τρίτους (Φυσικά ή Νομικά Πρόσωπα)</w:t>
                  </w:r>
                </w:p>
              </w:tc>
              <w:tc>
                <w:tcPr>
                  <w:tcW w:w="1440" w:type="dxa"/>
                  <w:tcBorders>
                    <w:top w:val="nil"/>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543.300,00</w:t>
                  </w:r>
                </w:p>
              </w:tc>
              <w:tc>
                <w:tcPr>
                  <w:tcW w:w="15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225.630,00</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41,53%</w:t>
                  </w:r>
                </w:p>
              </w:tc>
              <w:tc>
                <w:tcPr>
                  <w:tcW w:w="146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225.630,00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41,53%</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sz w:val="18"/>
                      <w:szCs w:val="18"/>
                      <w:lang w:bidi="he-IL"/>
                    </w:rPr>
                  </w:pPr>
                  <w:r w:rsidRPr="004C365D">
                    <w:rPr>
                      <w:sz w:val="18"/>
                      <w:szCs w:val="18"/>
                      <w:lang w:bidi="he-IL"/>
                    </w:rPr>
                    <w:t>41,53%</w:t>
                  </w:r>
                </w:p>
              </w:tc>
            </w:tr>
            <w:tr w:rsidR="006760EA" w:rsidRPr="004C365D" w:rsidTr="00DC5D7B">
              <w:trPr>
                <w:trHeight w:val="167"/>
                <w:jc w:val="center"/>
              </w:trPr>
              <w:tc>
                <w:tcPr>
                  <w:tcW w:w="580" w:type="dxa"/>
                  <w:tcBorders>
                    <w:top w:val="nil"/>
                    <w:left w:val="single" w:sz="8" w:space="0" w:color="auto"/>
                    <w:bottom w:val="single" w:sz="4" w:space="0" w:color="auto"/>
                    <w:right w:val="single" w:sz="4" w:space="0" w:color="auto"/>
                  </w:tcBorders>
                  <w:shd w:val="clear" w:color="000000" w:fill="D9D9D9"/>
                  <w:noWrap/>
                  <w:vAlign w:val="center"/>
                  <w:hideMark/>
                </w:tcPr>
                <w:p w:rsidR="006760EA" w:rsidRPr="004C365D" w:rsidRDefault="006760EA" w:rsidP="00DC5D7B">
                  <w:pPr>
                    <w:rPr>
                      <w:sz w:val="18"/>
                      <w:szCs w:val="18"/>
                      <w:lang w:bidi="he-IL"/>
                    </w:rPr>
                  </w:pPr>
                  <w:r w:rsidRPr="004C365D">
                    <w:rPr>
                      <w:sz w:val="18"/>
                      <w:szCs w:val="18"/>
                      <w:lang w:bidi="he-IL"/>
                    </w:rPr>
                    <w:t> </w:t>
                  </w:r>
                </w:p>
              </w:tc>
              <w:tc>
                <w:tcPr>
                  <w:tcW w:w="6520" w:type="dxa"/>
                  <w:tcBorders>
                    <w:top w:val="nil"/>
                    <w:left w:val="nil"/>
                    <w:bottom w:val="single" w:sz="8" w:space="0" w:color="auto"/>
                    <w:right w:val="nil"/>
                  </w:tcBorders>
                  <w:shd w:val="clear" w:color="000000" w:fill="D9D9D9"/>
                  <w:vAlign w:val="center"/>
                  <w:hideMark/>
                </w:tcPr>
                <w:p w:rsidR="006760EA" w:rsidRPr="004C365D" w:rsidRDefault="006760EA" w:rsidP="00DC5D7B">
                  <w:pPr>
                    <w:jc w:val="center"/>
                    <w:rPr>
                      <w:b/>
                      <w:bCs/>
                      <w:sz w:val="18"/>
                      <w:szCs w:val="18"/>
                      <w:lang w:bidi="he-IL"/>
                    </w:rPr>
                  </w:pPr>
                  <w:r w:rsidRPr="004C365D">
                    <w:rPr>
                      <w:b/>
                      <w:bCs/>
                      <w:sz w:val="18"/>
                      <w:szCs w:val="18"/>
                      <w:lang w:bidi="he-IL"/>
                    </w:rPr>
                    <w:t>Σύνολα  εσόδων (Χωρίς χρηματικό  υπόλοιπο Π.Ο.Ε.)</w:t>
                  </w:r>
                </w:p>
              </w:tc>
              <w:tc>
                <w:tcPr>
                  <w:tcW w:w="1440" w:type="dxa"/>
                  <w:tcBorders>
                    <w:top w:val="nil"/>
                    <w:left w:val="single" w:sz="8" w:space="0" w:color="auto"/>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34.054.039,68</w:t>
                  </w:r>
                </w:p>
              </w:tc>
              <w:tc>
                <w:tcPr>
                  <w:tcW w:w="1520" w:type="dxa"/>
                  <w:tcBorders>
                    <w:top w:val="nil"/>
                    <w:left w:val="nil"/>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20.601.965,09</w:t>
                  </w:r>
                </w:p>
              </w:tc>
              <w:tc>
                <w:tcPr>
                  <w:tcW w:w="1020" w:type="dxa"/>
                  <w:tcBorders>
                    <w:top w:val="nil"/>
                    <w:left w:val="single" w:sz="4" w:space="0" w:color="auto"/>
                    <w:bottom w:val="single" w:sz="4" w:space="0" w:color="auto"/>
                    <w:right w:val="nil"/>
                  </w:tcBorders>
                  <w:shd w:val="clear" w:color="000000" w:fill="D9D9D9"/>
                  <w:noWrap/>
                  <w:vAlign w:val="center"/>
                  <w:hideMark/>
                </w:tcPr>
                <w:p w:rsidR="006760EA" w:rsidRPr="004C365D" w:rsidRDefault="006760EA" w:rsidP="00DC5D7B">
                  <w:pPr>
                    <w:jc w:val="right"/>
                    <w:rPr>
                      <w:b/>
                      <w:bCs/>
                      <w:sz w:val="18"/>
                      <w:szCs w:val="18"/>
                      <w:lang w:bidi="he-IL"/>
                    </w:rPr>
                  </w:pPr>
                  <w:r w:rsidRPr="004C365D">
                    <w:rPr>
                      <w:b/>
                      <w:bCs/>
                      <w:sz w:val="18"/>
                      <w:szCs w:val="18"/>
                      <w:lang w:bidi="he-IL"/>
                    </w:rPr>
                    <w:t>60,50%</w:t>
                  </w:r>
                </w:p>
              </w:tc>
              <w:tc>
                <w:tcPr>
                  <w:tcW w:w="1460" w:type="dxa"/>
                  <w:tcBorders>
                    <w:top w:val="nil"/>
                    <w:left w:val="single" w:sz="8" w:space="0" w:color="auto"/>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15.663.579,94</w:t>
                  </w:r>
                </w:p>
              </w:tc>
              <w:tc>
                <w:tcPr>
                  <w:tcW w:w="1020" w:type="dxa"/>
                  <w:tcBorders>
                    <w:top w:val="nil"/>
                    <w:left w:val="single" w:sz="4" w:space="0" w:color="auto"/>
                    <w:bottom w:val="single" w:sz="4" w:space="0" w:color="auto"/>
                    <w:right w:val="single" w:sz="4" w:space="0" w:color="auto"/>
                  </w:tcBorders>
                  <w:shd w:val="clear" w:color="000000" w:fill="D9D9D9"/>
                  <w:noWrap/>
                  <w:vAlign w:val="center"/>
                  <w:hideMark/>
                </w:tcPr>
                <w:p w:rsidR="006760EA" w:rsidRPr="004C365D" w:rsidRDefault="006760EA" w:rsidP="00DC5D7B">
                  <w:pPr>
                    <w:jc w:val="right"/>
                    <w:rPr>
                      <w:b/>
                      <w:bCs/>
                      <w:sz w:val="18"/>
                      <w:szCs w:val="18"/>
                      <w:lang w:bidi="he-IL"/>
                    </w:rPr>
                  </w:pPr>
                  <w:r w:rsidRPr="004C365D">
                    <w:rPr>
                      <w:b/>
                      <w:bCs/>
                      <w:sz w:val="18"/>
                      <w:szCs w:val="18"/>
                      <w:lang w:bidi="he-IL"/>
                    </w:rPr>
                    <w:t>46,00%</w:t>
                  </w:r>
                </w:p>
              </w:tc>
              <w:tc>
                <w:tcPr>
                  <w:tcW w:w="1220" w:type="dxa"/>
                  <w:tcBorders>
                    <w:top w:val="nil"/>
                    <w:left w:val="nil"/>
                    <w:bottom w:val="single" w:sz="4"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lang w:bidi="he-IL"/>
                    </w:rPr>
                  </w:pPr>
                  <w:r w:rsidRPr="004C365D">
                    <w:rPr>
                      <w:b/>
                      <w:bCs/>
                      <w:sz w:val="18"/>
                      <w:szCs w:val="18"/>
                      <w:lang w:bidi="he-IL"/>
                    </w:rPr>
                    <w:t>46,00%</w:t>
                  </w:r>
                </w:p>
              </w:tc>
            </w:tr>
            <w:tr w:rsidR="006760EA" w:rsidRPr="004C365D" w:rsidTr="00DC5D7B">
              <w:trPr>
                <w:trHeight w:val="26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rsidR="006760EA" w:rsidRPr="004C365D" w:rsidRDefault="006760EA" w:rsidP="00DC5D7B">
                  <w:pPr>
                    <w:rPr>
                      <w:b/>
                      <w:bCs/>
                      <w:sz w:val="18"/>
                      <w:szCs w:val="18"/>
                      <w:lang w:bidi="he-IL"/>
                    </w:rPr>
                  </w:pPr>
                  <w:r w:rsidRPr="004C365D">
                    <w:rPr>
                      <w:b/>
                      <w:bCs/>
                      <w:sz w:val="18"/>
                      <w:szCs w:val="18"/>
                      <w:lang w:bidi="he-IL"/>
                    </w:rPr>
                    <w:t>5</w:t>
                  </w:r>
                </w:p>
              </w:tc>
              <w:tc>
                <w:tcPr>
                  <w:tcW w:w="6520" w:type="dxa"/>
                  <w:tcBorders>
                    <w:top w:val="single" w:sz="4" w:space="0" w:color="auto"/>
                    <w:left w:val="nil"/>
                    <w:bottom w:val="single" w:sz="4" w:space="0" w:color="auto"/>
                    <w:right w:val="nil"/>
                  </w:tcBorders>
                  <w:shd w:val="clear" w:color="000000" w:fill="FFFFFF"/>
                  <w:vAlign w:val="center"/>
                  <w:hideMark/>
                </w:tcPr>
                <w:p w:rsidR="006760EA" w:rsidRPr="004C365D" w:rsidRDefault="006760EA" w:rsidP="00DC5D7B">
                  <w:pPr>
                    <w:rPr>
                      <w:b/>
                      <w:bCs/>
                      <w:sz w:val="18"/>
                      <w:szCs w:val="18"/>
                      <w:lang w:bidi="he-IL"/>
                    </w:rPr>
                  </w:pPr>
                  <w:r w:rsidRPr="004C365D">
                    <w:rPr>
                      <w:b/>
                      <w:bCs/>
                      <w:sz w:val="18"/>
                      <w:szCs w:val="18"/>
                      <w:lang w:bidi="he-IL"/>
                    </w:rPr>
                    <w:t>Χρηματικό υπόλοιπο προηγούμενου Έτους</w:t>
                  </w:r>
                </w:p>
              </w:tc>
              <w:tc>
                <w:tcPr>
                  <w:tcW w:w="144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6.507.379,59</w:t>
                  </w:r>
                </w:p>
              </w:tc>
              <w:tc>
                <w:tcPr>
                  <w:tcW w:w="1520" w:type="dxa"/>
                  <w:tcBorders>
                    <w:top w:val="single" w:sz="4" w:space="0" w:color="auto"/>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6.507.379,59</w:t>
                  </w:r>
                </w:p>
              </w:tc>
              <w:tc>
                <w:tcPr>
                  <w:tcW w:w="1020" w:type="dxa"/>
                  <w:tcBorders>
                    <w:top w:val="nil"/>
                    <w:left w:val="single" w:sz="4" w:space="0" w:color="auto"/>
                    <w:bottom w:val="single" w:sz="4" w:space="0" w:color="auto"/>
                    <w:right w:val="nil"/>
                  </w:tcBorders>
                  <w:shd w:val="clear" w:color="000000" w:fill="FFFFFF"/>
                  <w:noWrap/>
                  <w:vAlign w:val="center"/>
                  <w:hideMark/>
                </w:tcPr>
                <w:p w:rsidR="006760EA" w:rsidRPr="004C365D" w:rsidRDefault="006760EA" w:rsidP="00DC5D7B">
                  <w:pPr>
                    <w:jc w:val="right"/>
                    <w:rPr>
                      <w:b/>
                      <w:bCs/>
                      <w:sz w:val="18"/>
                      <w:szCs w:val="18"/>
                      <w:lang w:bidi="he-IL"/>
                    </w:rPr>
                  </w:pPr>
                  <w:r w:rsidRPr="004C365D">
                    <w:rPr>
                      <w:b/>
                      <w:bCs/>
                      <w:sz w:val="18"/>
                      <w:szCs w:val="18"/>
                      <w:lang w:bidi="he-IL"/>
                    </w:rPr>
                    <w:t>100,00%</w:t>
                  </w:r>
                </w:p>
              </w:tc>
              <w:tc>
                <w:tcPr>
                  <w:tcW w:w="146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6.507.379,59</w:t>
                  </w:r>
                </w:p>
              </w:tc>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rsidR="006760EA" w:rsidRPr="004C365D" w:rsidRDefault="006760EA" w:rsidP="00DC5D7B">
                  <w:pPr>
                    <w:jc w:val="right"/>
                    <w:rPr>
                      <w:b/>
                      <w:bCs/>
                      <w:sz w:val="18"/>
                      <w:szCs w:val="18"/>
                      <w:lang w:bidi="he-IL"/>
                    </w:rPr>
                  </w:pPr>
                  <w:r w:rsidRPr="004C365D">
                    <w:rPr>
                      <w:b/>
                      <w:bCs/>
                      <w:sz w:val="18"/>
                      <w:szCs w:val="18"/>
                      <w:lang w:bidi="he-IL"/>
                    </w:rPr>
                    <w:t>100,00%</w:t>
                  </w:r>
                </w:p>
              </w:tc>
              <w:tc>
                <w:tcPr>
                  <w:tcW w:w="1220" w:type="dxa"/>
                  <w:tcBorders>
                    <w:top w:val="nil"/>
                    <w:left w:val="nil"/>
                    <w:bottom w:val="single" w:sz="4" w:space="0" w:color="auto"/>
                    <w:right w:val="single" w:sz="8" w:space="0" w:color="auto"/>
                  </w:tcBorders>
                  <w:shd w:val="clear" w:color="000000" w:fill="FFFFFF"/>
                  <w:noWrap/>
                  <w:vAlign w:val="center"/>
                  <w:hideMark/>
                </w:tcPr>
                <w:p w:rsidR="006760EA" w:rsidRPr="004C365D" w:rsidRDefault="006760EA" w:rsidP="00DC5D7B">
                  <w:pPr>
                    <w:jc w:val="right"/>
                    <w:rPr>
                      <w:b/>
                      <w:bCs/>
                      <w:sz w:val="18"/>
                      <w:szCs w:val="18"/>
                      <w:lang w:bidi="he-IL"/>
                    </w:rPr>
                  </w:pPr>
                  <w:r w:rsidRPr="004C365D">
                    <w:rPr>
                      <w:b/>
                      <w:bCs/>
                      <w:sz w:val="18"/>
                      <w:szCs w:val="18"/>
                      <w:lang w:bidi="he-IL"/>
                    </w:rPr>
                    <w:t>100,00%</w:t>
                  </w:r>
                </w:p>
              </w:tc>
            </w:tr>
            <w:tr w:rsidR="006760EA" w:rsidRPr="004C365D" w:rsidTr="00DC5D7B">
              <w:trPr>
                <w:trHeight w:val="330"/>
                <w:jc w:val="center"/>
              </w:trPr>
              <w:tc>
                <w:tcPr>
                  <w:tcW w:w="580" w:type="dxa"/>
                  <w:tcBorders>
                    <w:top w:val="nil"/>
                    <w:left w:val="single" w:sz="8" w:space="0" w:color="auto"/>
                    <w:bottom w:val="single" w:sz="8" w:space="0" w:color="auto"/>
                    <w:right w:val="single" w:sz="4" w:space="0" w:color="auto"/>
                  </w:tcBorders>
                  <w:shd w:val="clear" w:color="000000" w:fill="D9D9D9"/>
                  <w:noWrap/>
                  <w:vAlign w:val="center"/>
                  <w:hideMark/>
                </w:tcPr>
                <w:p w:rsidR="006760EA" w:rsidRPr="004C365D" w:rsidRDefault="006760EA" w:rsidP="00DC5D7B">
                  <w:pPr>
                    <w:jc w:val="center"/>
                    <w:rPr>
                      <w:sz w:val="18"/>
                      <w:szCs w:val="18"/>
                      <w:lang w:bidi="he-IL"/>
                    </w:rPr>
                  </w:pPr>
                  <w:r w:rsidRPr="004C365D">
                    <w:rPr>
                      <w:sz w:val="18"/>
                      <w:szCs w:val="18"/>
                      <w:lang w:bidi="he-IL"/>
                    </w:rPr>
                    <w:t> </w:t>
                  </w:r>
                </w:p>
              </w:tc>
              <w:tc>
                <w:tcPr>
                  <w:tcW w:w="6520" w:type="dxa"/>
                  <w:tcBorders>
                    <w:top w:val="nil"/>
                    <w:left w:val="nil"/>
                    <w:bottom w:val="single" w:sz="8" w:space="0" w:color="auto"/>
                    <w:right w:val="nil"/>
                  </w:tcBorders>
                  <w:shd w:val="clear" w:color="000000" w:fill="D9D9D9"/>
                  <w:vAlign w:val="center"/>
                  <w:hideMark/>
                </w:tcPr>
                <w:p w:rsidR="006760EA" w:rsidRPr="004C365D" w:rsidRDefault="006760EA" w:rsidP="00DC5D7B">
                  <w:pPr>
                    <w:jc w:val="center"/>
                    <w:rPr>
                      <w:b/>
                      <w:bCs/>
                      <w:sz w:val="18"/>
                      <w:szCs w:val="18"/>
                      <w:lang w:bidi="he-IL"/>
                    </w:rPr>
                  </w:pPr>
                  <w:r w:rsidRPr="004C365D">
                    <w:rPr>
                      <w:b/>
                      <w:bCs/>
                      <w:sz w:val="18"/>
                      <w:szCs w:val="18"/>
                      <w:lang w:bidi="he-IL"/>
                    </w:rPr>
                    <w:t xml:space="preserve">Σύνολα  εσόδων </w:t>
                  </w:r>
                </w:p>
              </w:tc>
              <w:tc>
                <w:tcPr>
                  <w:tcW w:w="1440" w:type="dxa"/>
                  <w:tcBorders>
                    <w:top w:val="nil"/>
                    <w:left w:val="single" w:sz="8" w:space="0" w:color="auto"/>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40.561.419,27</w:t>
                  </w:r>
                </w:p>
              </w:tc>
              <w:tc>
                <w:tcPr>
                  <w:tcW w:w="1520" w:type="dxa"/>
                  <w:tcBorders>
                    <w:top w:val="nil"/>
                    <w:left w:val="nil"/>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27.109.344,68</w:t>
                  </w:r>
                </w:p>
              </w:tc>
              <w:tc>
                <w:tcPr>
                  <w:tcW w:w="1020" w:type="dxa"/>
                  <w:tcBorders>
                    <w:top w:val="nil"/>
                    <w:left w:val="single" w:sz="4" w:space="0" w:color="auto"/>
                    <w:bottom w:val="single" w:sz="8" w:space="0" w:color="auto"/>
                    <w:right w:val="nil"/>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66,84%</w:t>
                  </w:r>
                </w:p>
              </w:tc>
              <w:tc>
                <w:tcPr>
                  <w:tcW w:w="1460" w:type="dxa"/>
                  <w:tcBorders>
                    <w:top w:val="nil"/>
                    <w:left w:val="single" w:sz="8" w:space="0" w:color="auto"/>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22.170.959,53</w:t>
                  </w:r>
                </w:p>
              </w:tc>
              <w:tc>
                <w:tcPr>
                  <w:tcW w:w="1020" w:type="dxa"/>
                  <w:tcBorders>
                    <w:top w:val="nil"/>
                    <w:left w:val="single" w:sz="4" w:space="0" w:color="auto"/>
                    <w:bottom w:val="single" w:sz="8" w:space="0" w:color="auto"/>
                    <w:right w:val="single" w:sz="4"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54,66%</w:t>
                  </w:r>
                </w:p>
              </w:tc>
              <w:tc>
                <w:tcPr>
                  <w:tcW w:w="1220" w:type="dxa"/>
                  <w:tcBorders>
                    <w:top w:val="nil"/>
                    <w:left w:val="nil"/>
                    <w:bottom w:val="single" w:sz="8" w:space="0" w:color="auto"/>
                    <w:right w:val="single" w:sz="8" w:space="0" w:color="auto"/>
                  </w:tcBorders>
                  <w:shd w:val="clear" w:color="000000" w:fill="D9D9D9"/>
                  <w:noWrap/>
                  <w:vAlign w:val="center"/>
                  <w:hideMark/>
                </w:tcPr>
                <w:p w:rsidR="006760EA" w:rsidRPr="004C365D" w:rsidRDefault="006760EA" w:rsidP="00DC5D7B">
                  <w:pPr>
                    <w:jc w:val="right"/>
                    <w:rPr>
                      <w:b/>
                      <w:bCs/>
                      <w:sz w:val="18"/>
                      <w:szCs w:val="18"/>
                      <w:u w:val="single"/>
                      <w:lang w:bidi="he-IL"/>
                    </w:rPr>
                  </w:pPr>
                  <w:r w:rsidRPr="004C365D">
                    <w:rPr>
                      <w:b/>
                      <w:bCs/>
                      <w:sz w:val="18"/>
                      <w:szCs w:val="18"/>
                      <w:u w:val="single"/>
                      <w:lang w:bidi="he-IL"/>
                    </w:rPr>
                    <w:t>81,78%</w:t>
                  </w:r>
                </w:p>
              </w:tc>
            </w:tr>
          </w:tbl>
          <w:p w:rsidR="006760EA" w:rsidRDefault="006760EA" w:rsidP="00DC5D7B">
            <w:pPr>
              <w:pStyle w:val="6"/>
              <w:rPr>
                <w:rStyle w:val="af5"/>
                <w:b w:val="0"/>
                <w:bCs w:val="0"/>
                <w:sz w:val="24"/>
                <w:szCs w:val="24"/>
              </w:rPr>
            </w:pPr>
            <w:bookmarkStart w:id="1" w:name="_Toc211508386"/>
          </w:p>
          <w:p w:rsidR="006760EA" w:rsidRDefault="006760EA" w:rsidP="00DC5D7B">
            <w:pPr>
              <w:pStyle w:val="6"/>
              <w:rPr>
                <w:rStyle w:val="af5"/>
                <w:b w:val="0"/>
                <w:bCs w:val="0"/>
                <w:sz w:val="24"/>
                <w:szCs w:val="24"/>
              </w:rPr>
            </w:pPr>
            <w:r w:rsidRPr="00A00B7C">
              <w:rPr>
                <w:rStyle w:val="af5"/>
                <w:b w:val="0"/>
                <w:bCs w:val="0"/>
                <w:sz w:val="24"/>
                <w:szCs w:val="24"/>
              </w:rPr>
              <w:lastRenderedPageBreak/>
              <w:t xml:space="preserve">Αποτελέσματα εκτέλεσης Προϋπολογισμού </w:t>
            </w:r>
            <w:r>
              <w:rPr>
                <w:rStyle w:val="af5"/>
                <w:b w:val="0"/>
                <w:bCs w:val="0"/>
                <w:sz w:val="24"/>
                <w:szCs w:val="24"/>
              </w:rPr>
              <w:t>Δαπανών</w:t>
            </w:r>
            <w:r w:rsidRPr="00A00B7C">
              <w:rPr>
                <w:rStyle w:val="af5"/>
                <w:b w:val="0"/>
                <w:bCs w:val="0"/>
                <w:sz w:val="24"/>
                <w:szCs w:val="24"/>
              </w:rPr>
              <w:t xml:space="preserve"> </w:t>
            </w:r>
            <w:r>
              <w:rPr>
                <w:rStyle w:val="af5"/>
                <w:b w:val="0"/>
                <w:bCs w:val="0"/>
                <w:sz w:val="24"/>
                <w:szCs w:val="24"/>
              </w:rPr>
              <w:t>Γ</w:t>
            </w:r>
            <w:r w:rsidRPr="00A00B7C">
              <w:rPr>
                <w:rStyle w:val="af5"/>
                <w:b w:val="0"/>
                <w:bCs w:val="0"/>
                <w:sz w:val="24"/>
                <w:szCs w:val="24"/>
              </w:rPr>
              <w:t>' τριμήνου 2025</w:t>
            </w:r>
            <w:bookmarkEnd w:id="1"/>
          </w:p>
          <w:tbl>
            <w:tblPr>
              <w:tblW w:w="14940" w:type="dxa"/>
              <w:jc w:val="center"/>
              <w:tblLook w:val="04A0"/>
            </w:tblPr>
            <w:tblGrid>
              <w:gridCol w:w="600"/>
              <w:gridCol w:w="3620"/>
              <w:gridCol w:w="1520"/>
              <w:gridCol w:w="1500"/>
              <w:gridCol w:w="1020"/>
              <w:gridCol w:w="1384"/>
              <w:gridCol w:w="900"/>
              <w:gridCol w:w="1340"/>
              <w:gridCol w:w="1300"/>
              <w:gridCol w:w="860"/>
              <w:gridCol w:w="940"/>
            </w:tblGrid>
            <w:tr w:rsidR="006760EA" w:rsidRPr="004D6720" w:rsidTr="00DC5D7B">
              <w:trPr>
                <w:trHeight w:val="195"/>
                <w:jc w:val="center"/>
              </w:trPr>
              <w:tc>
                <w:tcPr>
                  <w:tcW w:w="60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362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152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150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102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134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900" w:type="dxa"/>
                  <w:tcBorders>
                    <w:top w:val="nil"/>
                    <w:left w:val="nil"/>
                    <w:bottom w:val="nil"/>
                    <w:right w:val="nil"/>
                  </w:tcBorders>
                  <w:shd w:val="clear" w:color="000000" w:fill="FFFFFF"/>
                  <w:noWrap/>
                  <w:vAlign w:val="center"/>
                  <w:hideMark/>
                </w:tcPr>
                <w:p w:rsidR="006760EA" w:rsidRPr="004D6720" w:rsidRDefault="006760EA" w:rsidP="00DC5D7B">
                  <w:pPr>
                    <w:jc w:val="center"/>
                    <w:rPr>
                      <w:b/>
                      <w:bCs/>
                      <w:sz w:val="22"/>
                      <w:szCs w:val="22"/>
                      <w:lang w:bidi="he-IL"/>
                    </w:rPr>
                  </w:pPr>
                  <w:r w:rsidRPr="004D6720">
                    <w:rPr>
                      <w:b/>
                      <w:bCs/>
                      <w:sz w:val="22"/>
                      <w:szCs w:val="22"/>
                      <w:lang w:bidi="he-IL"/>
                    </w:rPr>
                    <w:t> </w:t>
                  </w:r>
                </w:p>
              </w:tc>
              <w:tc>
                <w:tcPr>
                  <w:tcW w:w="4440" w:type="dxa"/>
                  <w:gridSpan w:val="4"/>
                  <w:tcBorders>
                    <w:top w:val="nil"/>
                    <w:left w:val="nil"/>
                    <w:bottom w:val="single" w:sz="8" w:space="0" w:color="auto"/>
                    <w:right w:val="nil"/>
                  </w:tcBorders>
                  <w:shd w:val="clear" w:color="000000" w:fill="FFFFFF"/>
                  <w:noWrap/>
                  <w:vAlign w:val="center"/>
                  <w:hideMark/>
                </w:tcPr>
                <w:p w:rsidR="006760EA" w:rsidRPr="004D6720" w:rsidRDefault="006760EA" w:rsidP="00DC5D7B">
                  <w:pPr>
                    <w:jc w:val="center"/>
                    <w:rPr>
                      <w:i/>
                      <w:iCs/>
                      <w:sz w:val="16"/>
                      <w:szCs w:val="16"/>
                      <w:lang w:bidi="he-IL"/>
                    </w:rPr>
                  </w:pPr>
                  <w:r w:rsidRPr="004D6720">
                    <w:rPr>
                      <w:i/>
                      <w:iCs/>
                      <w:sz w:val="16"/>
                      <w:szCs w:val="16"/>
                      <w:lang w:bidi="he-IL"/>
                    </w:rPr>
                    <w:t>ΠΕΡΙΟΔΟΣ 1/1/2025-  30./9/2025</w:t>
                  </w:r>
                </w:p>
              </w:tc>
            </w:tr>
            <w:tr w:rsidR="006760EA" w:rsidRPr="004D6720" w:rsidTr="00DC5D7B">
              <w:trPr>
                <w:trHeight w:val="290"/>
                <w:jc w:val="center"/>
              </w:trPr>
              <w:tc>
                <w:tcPr>
                  <w:tcW w:w="600"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6760EA" w:rsidRPr="004D6720" w:rsidRDefault="006760EA" w:rsidP="00DC5D7B">
                  <w:pPr>
                    <w:jc w:val="center"/>
                    <w:rPr>
                      <w:b/>
                      <w:bCs/>
                      <w:sz w:val="18"/>
                      <w:szCs w:val="18"/>
                      <w:lang w:bidi="he-IL"/>
                    </w:rPr>
                  </w:pPr>
                  <w:r w:rsidRPr="004D6720">
                    <w:rPr>
                      <w:b/>
                      <w:bCs/>
                      <w:sz w:val="18"/>
                      <w:szCs w:val="18"/>
                      <w:lang w:bidi="he-IL"/>
                    </w:rPr>
                    <w:t>Κ.Α.</w:t>
                  </w:r>
                </w:p>
              </w:tc>
              <w:tc>
                <w:tcPr>
                  <w:tcW w:w="3620" w:type="dxa"/>
                  <w:vMerge w:val="restart"/>
                  <w:tcBorders>
                    <w:top w:val="single" w:sz="8" w:space="0" w:color="auto"/>
                    <w:left w:val="single" w:sz="4" w:space="0" w:color="auto"/>
                    <w:bottom w:val="single" w:sz="8" w:space="0" w:color="000000"/>
                    <w:right w:val="single" w:sz="4" w:space="0" w:color="auto"/>
                  </w:tcBorders>
                  <w:shd w:val="clear" w:color="000000" w:fill="D9D9D9"/>
                  <w:noWrap/>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ΑΝΑΚΕΦΑΛΑΙΩΣΗ ΕΞΟΔΩΝ </w:t>
                  </w:r>
                </w:p>
              </w:tc>
              <w:tc>
                <w:tcPr>
                  <w:tcW w:w="1520" w:type="dxa"/>
                  <w:tcBorders>
                    <w:top w:val="single" w:sz="8" w:space="0" w:color="auto"/>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proofErr w:type="spellStart"/>
                  <w:r w:rsidRPr="004D6720">
                    <w:rPr>
                      <w:b/>
                      <w:bCs/>
                      <w:sz w:val="18"/>
                      <w:szCs w:val="18"/>
                      <w:lang w:bidi="he-IL"/>
                    </w:rPr>
                    <w:t>Προϋπ</w:t>
                  </w:r>
                  <w:proofErr w:type="spellEnd"/>
                  <w:r w:rsidRPr="004D6720">
                    <w:rPr>
                      <w:b/>
                      <w:bCs/>
                      <w:sz w:val="18"/>
                      <w:szCs w:val="18"/>
                      <w:lang w:bidi="he-IL"/>
                    </w:rPr>
                    <w:t>/</w:t>
                  </w:r>
                  <w:proofErr w:type="spellStart"/>
                  <w:r w:rsidRPr="004D6720">
                    <w:rPr>
                      <w:b/>
                      <w:bCs/>
                      <w:sz w:val="18"/>
                      <w:szCs w:val="18"/>
                      <w:lang w:bidi="he-IL"/>
                    </w:rPr>
                    <w:t>σμός</w:t>
                  </w:r>
                  <w:proofErr w:type="spellEnd"/>
                  <w:r w:rsidRPr="004D6720">
                    <w:rPr>
                      <w:b/>
                      <w:bCs/>
                      <w:sz w:val="18"/>
                      <w:szCs w:val="18"/>
                      <w:lang w:bidi="he-IL"/>
                    </w:rPr>
                    <w:t xml:space="preserve"> </w:t>
                  </w:r>
                </w:p>
              </w:tc>
              <w:tc>
                <w:tcPr>
                  <w:tcW w:w="1500" w:type="dxa"/>
                  <w:tcBorders>
                    <w:top w:val="single" w:sz="8" w:space="0" w:color="auto"/>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Δεσμευθέντα </w:t>
                  </w:r>
                </w:p>
              </w:tc>
              <w:tc>
                <w:tcPr>
                  <w:tcW w:w="1020" w:type="dxa"/>
                  <w:tcBorders>
                    <w:top w:val="single" w:sz="8" w:space="0" w:color="auto"/>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  </w:t>
                  </w:r>
                </w:p>
              </w:tc>
              <w:tc>
                <w:tcPr>
                  <w:tcW w:w="1340" w:type="dxa"/>
                  <w:tcBorders>
                    <w:top w:val="single" w:sz="8" w:space="0" w:color="auto"/>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proofErr w:type="spellStart"/>
                  <w:r w:rsidRPr="004D6720">
                    <w:rPr>
                      <w:b/>
                      <w:bCs/>
                      <w:sz w:val="18"/>
                      <w:szCs w:val="18"/>
                      <w:lang w:bidi="he-IL"/>
                    </w:rPr>
                    <w:t>Τιμολογηθέντα</w:t>
                  </w:r>
                  <w:proofErr w:type="spellEnd"/>
                  <w:r w:rsidRPr="004D6720">
                    <w:rPr>
                      <w:b/>
                      <w:bCs/>
                      <w:sz w:val="18"/>
                      <w:szCs w:val="18"/>
                      <w:lang w:bidi="he-IL"/>
                    </w:rPr>
                    <w:t xml:space="preserve"> </w:t>
                  </w:r>
                </w:p>
              </w:tc>
              <w:tc>
                <w:tcPr>
                  <w:tcW w:w="900" w:type="dxa"/>
                  <w:tcBorders>
                    <w:top w:val="single" w:sz="8" w:space="0" w:color="auto"/>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     </w:t>
                  </w:r>
                </w:p>
              </w:tc>
              <w:tc>
                <w:tcPr>
                  <w:tcW w:w="1340" w:type="dxa"/>
                  <w:tcBorders>
                    <w:top w:val="nil"/>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proofErr w:type="spellStart"/>
                  <w:r w:rsidRPr="004D6720">
                    <w:rPr>
                      <w:b/>
                      <w:bCs/>
                      <w:sz w:val="18"/>
                      <w:szCs w:val="18"/>
                      <w:lang w:bidi="he-IL"/>
                    </w:rPr>
                    <w:t>Ενταλθέντα</w:t>
                  </w:r>
                  <w:proofErr w:type="spellEnd"/>
                  <w:r w:rsidRPr="004D6720">
                    <w:rPr>
                      <w:b/>
                      <w:bCs/>
                      <w:sz w:val="18"/>
                      <w:szCs w:val="18"/>
                      <w:lang w:bidi="he-IL"/>
                    </w:rPr>
                    <w:t xml:space="preserve">   </w:t>
                  </w:r>
                </w:p>
              </w:tc>
              <w:tc>
                <w:tcPr>
                  <w:tcW w:w="1300" w:type="dxa"/>
                  <w:tcBorders>
                    <w:top w:val="nil"/>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Πληρωθέντα   </w:t>
                  </w:r>
                </w:p>
              </w:tc>
              <w:tc>
                <w:tcPr>
                  <w:tcW w:w="860" w:type="dxa"/>
                  <w:tcBorders>
                    <w:top w:val="nil"/>
                    <w:left w:val="nil"/>
                    <w:bottom w:val="single" w:sz="4"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     </w:t>
                  </w:r>
                </w:p>
              </w:tc>
              <w:tc>
                <w:tcPr>
                  <w:tcW w:w="940" w:type="dxa"/>
                  <w:tcBorders>
                    <w:top w:val="nil"/>
                    <w:left w:val="nil"/>
                    <w:bottom w:val="single" w:sz="4" w:space="0" w:color="auto"/>
                    <w:right w:val="single" w:sz="8"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     </w:t>
                  </w:r>
                </w:p>
              </w:tc>
            </w:tr>
            <w:tr w:rsidR="006760EA" w:rsidRPr="004D6720" w:rsidTr="00DC5D7B">
              <w:trPr>
                <w:trHeight w:val="270"/>
                <w:jc w:val="center"/>
              </w:trPr>
              <w:tc>
                <w:tcPr>
                  <w:tcW w:w="600" w:type="dxa"/>
                  <w:vMerge/>
                  <w:tcBorders>
                    <w:top w:val="single" w:sz="8" w:space="0" w:color="auto"/>
                    <w:left w:val="single" w:sz="8" w:space="0" w:color="auto"/>
                    <w:bottom w:val="single" w:sz="8" w:space="0" w:color="000000"/>
                    <w:right w:val="single" w:sz="4" w:space="0" w:color="auto"/>
                  </w:tcBorders>
                  <w:vAlign w:val="center"/>
                  <w:hideMark/>
                </w:tcPr>
                <w:p w:rsidR="006760EA" w:rsidRPr="004D6720" w:rsidRDefault="006760EA" w:rsidP="00DC5D7B">
                  <w:pPr>
                    <w:rPr>
                      <w:b/>
                      <w:bCs/>
                      <w:sz w:val="18"/>
                      <w:szCs w:val="18"/>
                      <w:lang w:bidi="he-IL"/>
                    </w:rPr>
                  </w:pPr>
                </w:p>
              </w:tc>
              <w:tc>
                <w:tcPr>
                  <w:tcW w:w="3620" w:type="dxa"/>
                  <w:vMerge/>
                  <w:tcBorders>
                    <w:top w:val="single" w:sz="8" w:space="0" w:color="auto"/>
                    <w:left w:val="single" w:sz="4" w:space="0" w:color="auto"/>
                    <w:bottom w:val="single" w:sz="8" w:space="0" w:color="000000"/>
                    <w:right w:val="single" w:sz="4" w:space="0" w:color="auto"/>
                  </w:tcBorders>
                  <w:vAlign w:val="center"/>
                  <w:hideMark/>
                </w:tcPr>
                <w:p w:rsidR="006760EA" w:rsidRPr="004D6720" w:rsidRDefault="006760EA" w:rsidP="00DC5D7B">
                  <w:pPr>
                    <w:rPr>
                      <w:b/>
                      <w:bCs/>
                      <w:sz w:val="18"/>
                      <w:szCs w:val="18"/>
                      <w:lang w:bidi="he-IL"/>
                    </w:rPr>
                  </w:pPr>
                </w:p>
              </w:tc>
              <w:tc>
                <w:tcPr>
                  <w:tcW w:w="152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1</w:t>
                  </w:r>
                </w:p>
              </w:tc>
              <w:tc>
                <w:tcPr>
                  <w:tcW w:w="150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2</w:t>
                  </w:r>
                </w:p>
              </w:tc>
              <w:tc>
                <w:tcPr>
                  <w:tcW w:w="102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2/1</w:t>
                  </w:r>
                </w:p>
              </w:tc>
              <w:tc>
                <w:tcPr>
                  <w:tcW w:w="134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3</w:t>
                  </w:r>
                </w:p>
              </w:tc>
              <w:tc>
                <w:tcPr>
                  <w:tcW w:w="90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3/1</w:t>
                  </w:r>
                </w:p>
              </w:tc>
              <w:tc>
                <w:tcPr>
                  <w:tcW w:w="134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4</w:t>
                  </w:r>
                </w:p>
              </w:tc>
              <w:tc>
                <w:tcPr>
                  <w:tcW w:w="130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5</w:t>
                  </w:r>
                </w:p>
              </w:tc>
              <w:tc>
                <w:tcPr>
                  <w:tcW w:w="860" w:type="dxa"/>
                  <w:tcBorders>
                    <w:top w:val="nil"/>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5/1</w:t>
                  </w:r>
                </w:p>
              </w:tc>
              <w:tc>
                <w:tcPr>
                  <w:tcW w:w="940" w:type="dxa"/>
                  <w:tcBorders>
                    <w:top w:val="nil"/>
                    <w:left w:val="nil"/>
                    <w:bottom w:val="single" w:sz="8" w:space="0" w:color="auto"/>
                    <w:right w:val="single" w:sz="8" w:space="0" w:color="auto"/>
                  </w:tcBorders>
                  <w:shd w:val="clear" w:color="000000" w:fill="D9D9D9"/>
                  <w:vAlign w:val="center"/>
                  <w:hideMark/>
                </w:tcPr>
                <w:p w:rsidR="006760EA" w:rsidRPr="004D6720" w:rsidRDefault="006760EA" w:rsidP="00DC5D7B">
                  <w:pPr>
                    <w:jc w:val="center"/>
                    <w:rPr>
                      <w:sz w:val="18"/>
                      <w:szCs w:val="18"/>
                      <w:lang w:bidi="he-IL"/>
                    </w:rPr>
                  </w:pPr>
                  <w:r w:rsidRPr="004D6720">
                    <w:rPr>
                      <w:sz w:val="18"/>
                      <w:szCs w:val="18"/>
                      <w:lang w:bidi="he-IL"/>
                    </w:rPr>
                    <w:t>5/3</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6.</w:t>
                  </w:r>
                </w:p>
              </w:tc>
              <w:tc>
                <w:tcPr>
                  <w:tcW w:w="3620" w:type="dxa"/>
                  <w:tcBorders>
                    <w:top w:val="nil"/>
                    <w:left w:val="nil"/>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Έξοδα</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16.109.528,54</w:t>
                  </w:r>
                </w:p>
              </w:tc>
              <w:tc>
                <w:tcPr>
                  <w:tcW w:w="15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15.163.873,52</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94,13%</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9.739.933,12</w:t>
                  </w:r>
                </w:p>
              </w:tc>
              <w:tc>
                <w:tcPr>
                  <w:tcW w:w="9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60,46%</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9.416.428,94</w:t>
                  </w:r>
                </w:p>
              </w:tc>
              <w:tc>
                <w:tcPr>
                  <w:tcW w:w="13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9.166.083,04</w:t>
                  </w:r>
                </w:p>
              </w:tc>
              <w:tc>
                <w:tcPr>
                  <w:tcW w:w="86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56,90%</w:t>
                  </w:r>
                </w:p>
              </w:tc>
              <w:tc>
                <w:tcPr>
                  <w:tcW w:w="940" w:type="dxa"/>
                  <w:tcBorders>
                    <w:top w:val="nil"/>
                    <w:left w:val="nil"/>
                    <w:bottom w:val="single" w:sz="4" w:space="0" w:color="auto"/>
                    <w:right w:val="single" w:sz="8"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94,11%</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60</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Αμοιβές και έξοδα προσωπικού</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7.733.097,26</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7.683.024,91</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99,35%</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5.457.911,75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70,58%</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5.256.269,13</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5.246.234,47</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67,84%</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96,12%</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61</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Αμοιβές αιρετών και τρίτων</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1.657.723,84</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1.349.437,02</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81,40%</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675.301,14</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40,74%</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628.333,43</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620.397,43</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37,42%</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91,87%</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62</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Παροχές τρίτων</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3.033.369,86</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2.884.408,06</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95,09%</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1.898.606,09</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62,59%</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1.863.804,67</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1.661.415,64</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54,77%</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87,51%</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63</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Φόροι - τέλη</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57.068,30</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10.051,80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17,61%</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8.613,82</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15,09%</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8.613,82</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8.613,82</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15,09%</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100,00%</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64</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Λοιπά Γενικά έξοδα</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663.211,38</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545.354,77</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82,23%</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298.622,91</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45,03%</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276.149,74</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271.913,74</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41,00%</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91,06%</w:t>
                  </w:r>
                </w:p>
              </w:tc>
            </w:tr>
            <w:tr w:rsidR="006760EA" w:rsidRPr="004D6720" w:rsidTr="00DC5D7B">
              <w:trPr>
                <w:trHeight w:val="45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65</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Πληρωμές για την εξυπηρέτηση δημοσίας πίστεως</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821.081,22</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805.711,94</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98,13%</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616.244,95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75,05%</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616.244,95</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616.244,95</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75,05%</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100,00%</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66</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Δαπάνες προμήθειας αναλωσίμων</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1.278.583,44</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1.044.089,69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81,66%</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494.113,13</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38,65%</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481.493,87</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455.743,66</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35,64%</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92,23%</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67</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Πληρωμές - Μεταβιβάσεις σε τρίτους</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839.893,24</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832.093,24</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99,07%</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281.819,61</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33,55%</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276.819,61</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276.819,61</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32,96%</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98,23%</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68</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Λοιπά Έξοδα</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25.500,00</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9.702,09</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38,05%</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8.699,72</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34,12%</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8.699,72</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8.699,72</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34,12%</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100,00%</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7.</w:t>
                  </w:r>
                </w:p>
              </w:tc>
              <w:tc>
                <w:tcPr>
                  <w:tcW w:w="3620" w:type="dxa"/>
                  <w:tcBorders>
                    <w:top w:val="nil"/>
                    <w:left w:val="nil"/>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Επενδύσεις</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13.199.855,08</w:t>
                  </w:r>
                </w:p>
              </w:tc>
              <w:tc>
                <w:tcPr>
                  <w:tcW w:w="15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10.420.897,66</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78,95%</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3.534.861,27</w:t>
                  </w:r>
                </w:p>
              </w:tc>
              <w:tc>
                <w:tcPr>
                  <w:tcW w:w="9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26,78%</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3.529.281,27</w:t>
                  </w:r>
                </w:p>
              </w:tc>
              <w:tc>
                <w:tcPr>
                  <w:tcW w:w="13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2.730.930,83</w:t>
                  </w:r>
                </w:p>
              </w:tc>
              <w:tc>
                <w:tcPr>
                  <w:tcW w:w="86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20,69%</w:t>
                  </w:r>
                </w:p>
              </w:tc>
              <w:tc>
                <w:tcPr>
                  <w:tcW w:w="940" w:type="dxa"/>
                  <w:tcBorders>
                    <w:top w:val="nil"/>
                    <w:left w:val="nil"/>
                    <w:bottom w:val="single" w:sz="4" w:space="0" w:color="auto"/>
                    <w:right w:val="single" w:sz="8"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77,26%</w:t>
                  </w:r>
                </w:p>
              </w:tc>
            </w:tr>
            <w:tr w:rsidR="006760EA" w:rsidRPr="004D6720" w:rsidTr="00DC5D7B">
              <w:trPr>
                <w:trHeight w:val="48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71</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Αγορές κτιρίων, τεχνικών έργων και προμήθειες παγίων</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3.931.862,98</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2.819.628,50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71,71%</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306.340,33</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7,79%</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300.760,33</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272.546,86</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6,93%</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88,97%</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73</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Έργα</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8.847.996,41</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7.371.485,18</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83,31%</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3.212.672,79</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36,31%</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3.212.672,79</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2.442.535,82</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27,61%</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76,03%</w:t>
                  </w:r>
                </w:p>
              </w:tc>
            </w:tr>
            <w:tr w:rsidR="006760EA" w:rsidRPr="004D6720" w:rsidTr="00DC5D7B">
              <w:trPr>
                <w:trHeight w:val="345"/>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74</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Μελέτες, έρευνες, πειραματικές εργασίες κλπ</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419.995,69</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229.783,98</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54,71%</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15.848,15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3,77%</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15.848,15</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15.848,15</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3,77%</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100,00%</w:t>
                  </w:r>
                </w:p>
              </w:tc>
            </w:tr>
            <w:tr w:rsidR="006760EA" w:rsidRPr="004D6720" w:rsidTr="00DC5D7B">
              <w:trPr>
                <w:trHeight w:val="48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75</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Τίτλοι πάγιας επένδυσης (συμμετοχές σε επιχειρήσεις)</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8.</w:t>
                  </w:r>
                </w:p>
              </w:tc>
              <w:tc>
                <w:tcPr>
                  <w:tcW w:w="3620" w:type="dxa"/>
                  <w:tcBorders>
                    <w:top w:val="nil"/>
                    <w:left w:val="nil"/>
                    <w:bottom w:val="single" w:sz="4" w:space="0" w:color="auto"/>
                    <w:right w:val="single" w:sz="4" w:space="0" w:color="auto"/>
                  </w:tcBorders>
                  <w:shd w:val="clear" w:color="000000" w:fill="FFFF99"/>
                  <w:vAlign w:val="center"/>
                  <w:hideMark/>
                </w:tcPr>
                <w:p w:rsidR="006760EA" w:rsidRPr="004D6720" w:rsidRDefault="006760EA" w:rsidP="00DC5D7B">
                  <w:pPr>
                    <w:rPr>
                      <w:b/>
                      <w:bCs/>
                      <w:sz w:val="18"/>
                      <w:szCs w:val="18"/>
                      <w:lang w:bidi="he-IL"/>
                    </w:rPr>
                  </w:pPr>
                  <w:r w:rsidRPr="004D6720">
                    <w:rPr>
                      <w:b/>
                      <w:bCs/>
                      <w:sz w:val="18"/>
                      <w:szCs w:val="18"/>
                      <w:lang w:bidi="he-IL"/>
                    </w:rPr>
                    <w:t xml:space="preserve">Πληρωμές Π.Ο.Ε., αποδόσεις και προβλέψεις </w:t>
                  </w:r>
                </w:p>
              </w:tc>
              <w:tc>
                <w:tcPr>
                  <w:tcW w:w="15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11.066.769,47</w:t>
                  </w:r>
                </w:p>
              </w:tc>
              <w:tc>
                <w:tcPr>
                  <w:tcW w:w="15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6.579.849,23</w:t>
                  </w:r>
                </w:p>
              </w:tc>
              <w:tc>
                <w:tcPr>
                  <w:tcW w:w="102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59,46%</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5.507.192,53</w:t>
                  </w:r>
                </w:p>
              </w:tc>
              <w:tc>
                <w:tcPr>
                  <w:tcW w:w="9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49,76%</w:t>
                  </w:r>
                </w:p>
              </w:tc>
              <w:tc>
                <w:tcPr>
                  <w:tcW w:w="134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5.413.751,81</w:t>
                  </w:r>
                </w:p>
              </w:tc>
              <w:tc>
                <w:tcPr>
                  <w:tcW w:w="130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5.169.730,99</w:t>
                  </w:r>
                </w:p>
              </w:tc>
              <w:tc>
                <w:tcPr>
                  <w:tcW w:w="860" w:type="dxa"/>
                  <w:tcBorders>
                    <w:top w:val="nil"/>
                    <w:left w:val="nil"/>
                    <w:bottom w:val="single" w:sz="4" w:space="0" w:color="auto"/>
                    <w:right w:val="single" w:sz="4"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46,71%</w:t>
                  </w:r>
                </w:p>
              </w:tc>
              <w:tc>
                <w:tcPr>
                  <w:tcW w:w="940" w:type="dxa"/>
                  <w:tcBorders>
                    <w:top w:val="nil"/>
                    <w:left w:val="nil"/>
                    <w:bottom w:val="single" w:sz="4" w:space="0" w:color="auto"/>
                    <w:right w:val="single" w:sz="8" w:space="0" w:color="auto"/>
                  </w:tcBorders>
                  <w:shd w:val="clear" w:color="000000" w:fill="FFFF9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93,87%</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81.</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Πληρωμές Π.Ο.Ε.</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2.940.946,95</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2.939.829,51</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99,96%</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2.900.531,15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98,63%</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2.807.090,43</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2.567.342,95</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87,30%</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88,51%</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82.</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Αποδόσεις</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3.712.970,00</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3.640.019,72</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98,04%</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2.606.661,38</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70,20%</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2.606.661,38</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2.602.388,04</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70,09%</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99,84%</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83</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Επιχορηγούμενες πληρωμές Π.Ο.Ε.</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r>
            <w:tr w:rsidR="006760EA" w:rsidRPr="004D6720" w:rsidTr="00DC5D7B">
              <w:trPr>
                <w:trHeight w:val="260"/>
                <w:jc w:val="center"/>
              </w:trPr>
              <w:tc>
                <w:tcPr>
                  <w:tcW w:w="600" w:type="dxa"/>
                  <w:tcBorders>
                    <w:top w:val="nil"/>
                    <w:left w:val="single" w:sz="8" w:space="0" w:color="auto"/>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85.</w:t>
                  </w:r>
                </w:p>
              </w:tc>
              <w:tc>
                <w:tcPr>
                  <w:tcW w:w="3620" w:type="dxa"/>
                  <w:tcBorders>
                    <w:top w:val="nil"/>
                    <w:left w:val="nil"/>
                    <w:bottom w:val="single" w:sz="4" w:space="0" w:color="auto"/>
                    <w:right w:val="single" w:sz="4" w:space="0" w:color="auto"/>
                  </w:tcBorders>
                  <w:shd w:val="clear" w:color="000000" w:fill="FFFFFF"/>
                  <w:vAlign w:val="center"/>
                  <w:hideMark/>
                </w:tcPr>
                <w:p w:rsidR="006760EA" w:rsidRPr="004D6720" w:rsidRDefault="006760EA" w:rsidP="00DC5D7B">
                  <w:pPr>
                    <w:rPr>
                      <w:sz w:val="18"/>
                      <w:szCs w:val="18"/>
                      <w:lang w:bidi="he-IL"/>
                    </w:rPr>
                  </w:pPr>
                  <w:r w:rsidRPr="004D6720">
                    <w:rPr>
                      <w:sz w:val="18"/>
                      <w:szCs w:val="18"/>
                      <w:lang w:bidi="he-IL"/>
                    </w:rPr>
                    <w:t>Προβλέψεις μη είσπραξης</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4.412.852,52</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0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3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r>
            <w:tr w:rsidR="006760EA" w:rsidRPr="004D6720" w:rsidTr="00DC5D7B">
              <w:trPr>
                <w:trHeight w:val="260"/>
                <w:jc w:val="center"/>
              </w:trPr>
              <w:tc>
                <w:tcPr>
                  <w:tcW w:w="600" w:type="dxa"/>
                  <w:tcBorders>
                    <w:top w:val="nil"/>
                    <w:left w:val="single" w:sz="8" w:space="0" w:color="auto"/>
                    <w:bottom w:val="nil"/>
                    <w:right w:val="single" w:sz="4" w:space="0" w:color="auto"/>
                  </w:tcBorders>
                  <w:shd w:val="clear" w:color="000000" w:fill="FFFFFF"/>
                  <w:vAlign w:val="center"/>
                  <w:hideMark/>
                </w:tcPr>
                <w:p w:rsidR="006760EA" w:rsidRPr="004D6720" w:rsidRDefault="006760EA" w:rsidP="00DC5D7B">
                  <w:pPr>
                    <w:rPr>
                      <w:b/>
                      <w:bCs/>
                      <w:sz w:val="18"/>
                      <w:szCs w:val="18"/>
                      <w:lang w:bidi="he-IL"/>
                    </w:rPr>
                  </w:pPr>
                  <w:r w:rsidRPr="004D6720">
                    <w:rPr>
                      <w:b/>
                      <w:bCs/>
                      <w:sz w:val="18"/>
                      <w:szCs w:val="18"/>
                      <w:lang w:bidi="he-IL"/>
                    </w:rPr>
                    <w:t>9</w:t>
                  </w:r>
                </w:p>
              </w:tc>
              <w:tc>
                <w:tcPr>
                  <w:tcW w:w="3620" w:type="dxa"/>
                  <w:tcBorders>
                    <w:top w:val="nil"/>
                    <w:left w:val="nil"/>
                    <w:bottom w:val="nil"/>
                    <w:right w:val="single" w:sz="4" w:space="0" w:color="auto"/>
                  </w:tcBorders>
                  <w:shd w:val="clear" w:color="000000" w:fill="FFFFFF"/>
                  <w:vAlign w:val="center"/>
                  <w:hideMark/>
                </w:tcPr>
                <w:p w:rsidR="006760EA" w:rsidRPr="004D6720" w:rsidRDefault="006760EA" w:rsidP="00DC5D7B">
                  <w:pPr>
                    <w:rPr>
                      <w:b/>
                      <w:bCs/>
                      <w:sz w:val="18"/>
                      <w:szCs w:val="18"/>
                      <w:lang w:bidi="he-IL"/>
                    </w:rPr>
                  </w:pPr>
                  <w:r w:rsidRPr="004D6720">
                    <w:rPr>
                      <w:b/>
                      <w:bCs/>
                      <w:sz w:val="18"/>
                      <w:szCs w:val="18"/>
                      <w:lang w:bidi="he-IL"/>
                    </w:rPr>
                    <w:t>Αποθεματικό</w:t>
                  </w:r>
                </w:p>
              </w:tc>
              <w:tc>
                <w:tcPr>
                  <w:tcW w:w="152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185.266,18</w:t>
                  </w:r>
                </w:p>
              </w:tc>
              <w:tc>
                <w:tcPr>
                  <w:tcW w:w="15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 </w:t>
                  </w:r>
                </w:p>
              </w:tc>
              <w:tc>
                <w:tcPr>
                  <w:tcW w:w="1020" w:type="dxa"/>
                  <w:tcBorders>
                    <w:top w:val="nil"/>
                    <w:left w:val="nil"/>
                    <w:bottom w:val="nil"/>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 </w:t>
                  </w:r>
                </w:p>
              </w:tc>
              <w:tc>
                <w:tcPr>
                  <w:tcW w:w="1340" w:type="dxa"/>
                  <w:tcBorders>
                    <w:top w:val="nil"/>
                    <w:left w:val="nil"/>
                    <w:bottom w:val="nil"/>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1340" w:type="dxa"/>
                  <w:tcBorders>
                    <w:top w:val="nil"/>
                    <w:left w:val="nil"/>
                    <w:bottom w:val="nil"/>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 </w:t>
                  </w:r>
                </w:p>
              </w:tc>
              <w:tc>
                <w:tcPr>
                  <w:tcW w:w="1300" w:type="dxa"/>
                  <w:tcBorders>
                    <w:top w:val="nil"/>
                    <w:left w:val="nil"/>
                    <w:bottom w:val="nil"/>
                    <w:right w:val="single" w:sz="4" w:space="0" w:color="auto"/>
                  </w:tcBorders>
                  <w:shd w:val="clear" w:color="000000" w:fill="FFFFFF"/>
                  <w:noWrap/>
                  <w:vAlign w:val="center"/>
                  <w:hideMark/>
                </w:tcPr>
                <w:p w:rsidR="006760EA" w:rsidRPr="004D6720" w:rsidRDefault="006760EA" w:rsidP="00DC5D7B">
                  <w:pPr>
                    <w:jc w:val="right"/>
                    <w:rPr>
                      <w:b/>
                      <w:bCs/>
                      <w:sz w:val="18"/>
                      <w:szCs w:val="18"/>
                      <w:lang w:bidi="he-IL"/>
                    </w:rPr>
                  </w:pPr>
                  <w:r w:rsidRPr="004D6720">
                    <w:rPr>
                      <w:b/>
                      <w:bCs/>
                      <w:sz w:val="18"/>
                      <w:szCs w:val="18"/>
                      <w:lang w:bidi="he-IL"/>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0,00%</w:t>
                  </w:r>
                </w:p>
              </w:tc>
              <w:tc>
                <w:tcPr>
                  <w:tcW w:w="940" w:type="dxa"/>
                  <w:tcBorders>
                    <w:top w:val="nil"/>
                    <w:left w:val="nil"/>
                    <w:bottom w:val="single" w:sz="4" w:space="0" w:color="auto"/>
                    <w:right w:val="single" w:sz="8" w:space="0" w:color="auto"/>
                  </w:tcBorders>
                  <w:shd w:val="clear" w:color="000000" w:fill="FFFFFF"/>
                  <w:noWrap/>
                  <w:vAlign w:val="center"/>
                  <w:hideMark/>
                </w:tcPr>
                <w:p w:rsidR="006760EA" w:rsidRPr="004D6720" w:rsidRDefault="006760EA" w:rsidP="00DC5D7B">
                  <w:pPr>
                    <w:jc w:val="right"/>
                    <w:rPr>
                      <w:sz w:val="18"/>
                      <w:szCs w:val="18"/>
                      <w:lang w:bidi="he-IL"/>
                    </w:rPr>
                  </w:pPr>
                  <w:r w:rsidRPr="004D6720">
                    <w:rPr>
                      <w:sz w:val="18"/>
                      <w:szCs w:val="18"/>
                      <w:lang w:bidi="he-IL"/>
                    </w:rPr>
                    <w:t> </w:t>
                  </w:r>
                </w:p>
              </w:tc>
            </w:tr>
            <w:tr w:rsidR="006760EA" w:rsidRPr="004D6720" w:rsidTr="00DC5D7B">
              <w:trPr>
                <w:trHeight w:val="330"/>
                <w:jc w:val="center"/>
              </w:trPr>
              <w:tc>
                <w:tcPr>
                  <w:tcW w:w="600" w:type="dxa"/>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6760EA" w:rsidRPr="004D6720" w:rsidRDefault="006760EA" w:rsidP="00DC5D7B">
                  <w:pPr>
                    <w:jc w:val="center"/>
                    <w:rPr>
                      <w:sz w:val="18"/>
                      <w:szCs w:val="18"/>
                      <w:lang w:bidi="he-IL"/>
                    </w:rPr>
                  </w:pPr>
                  <w:r w:rsidRPr="004D6720">
                    <w:rPr>
                      <w:sz w:val="18"/>
                      <w:szCs w:val="18"/>
                      <w:lang w:bidi="he-IL"/>
                    </w:rPr>
                    <w:t> </w:t>
                  </w:r>
                </w:p>
              </w:tc>
              <w:tc>
                <w:tcPr>
                  <w:tcW w:w="3620" w:type="dxa"/>
                  <w:tcBorders>
                    <w:top w:val="single" w:sz="4" w:space="0" w:color="auto"/>
                    <w:left w:val="nil"/>
                    <w:bottom w:val="single" w:sz="8" w:space="0" w:color="auto"/>
                    <w:right w:val="single" w:sz="4" w:space="0" w:color="auto"/>
                  </w:tcBorders>
                  <w:shd w:val="clear" w:color="000000" w:fill="D9D9D9"/>
                  <w:vAlign w:val="center"/>
                  <w:hideMark/>
                </w:tcPr>
                <w:p w:rsidR="006760EA" w:rsidRPr="004D6720" w:rsidRDefault="006760EA" w:rsidP="00DC5D7B">
                  <w:pPr>
                    <w:jc w:val="center"/>
                    <w:rPr>
                      <w:b/>
                      <w:bCs/>
                      <w:sz w:val="18"/>
                      <w:szCs w:val="18"/>
                      <w:lang w:bidi="he-IL"/>
                    </w:rPr>
                  </w:pPr>
                  <w:r w:rsidRPr="004D6720">
                    <w:rPr>
                      <w:b/>
                      <w:bCs/>
                      <w:sz w:val="18"/>
                      <w:szCs w:val="18"/>
                      <w:lang w:bidi="he-IL"/>
                    </w:rPr>
                    <w:t xml:space="preserve">Σύνολα δαπανών </w:t>
                  </w:r>
                </w:p>
              </w:tc>
              <w:tc>
                <w:tcPr>
                  <w:tcW w:w="1520" w:type="dxa"/>
                  <w:tcBorders>
                    <w:top w:val="nil"/>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40.561.419,27</w:t>
                  </w:r>
                </w:p>
              </w:tc>
              <w:tc>
                <w:tcPr>
                  <w:tcW w:w="1500" w:type="dxa"/>
                  <w:tcBorders>
                    <w:top w:val="nil"/>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32.164.620,41</w:t>
                  </w:r>
                </w:p>
              </w:tc>
              <w:tc>
                <w:tcPr>
                  <w:tcW w:w="1020" w:type="dxa"/>
                  <w:tcBorders>
                    <w:top w:val="single" w:sz="4" w:space="0" w:color="auto"/>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79,30%</w:t>
                  </w:r>
                </w:p>
              </w:tc>
              <w:tc>
                <w:tcPr>
                  <w:tcW w:w="1340" w:type="dxa"/>
                  <w:tcBorders>
                    <w:top w:val="single" w:sz="4" w:space="0" w:color="auto"/>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18.781.986,92</w:t>
                  </w:r>
                </w:p>
              </w:tc>
              <w:tc>
                <w:tcPr>
                  <w:tcW w:w="900" w:type="dxa"/>
                  <w:tcBorders>
                    <w:top w:val="nil"/>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46,31%</w:t>
                  </w:r>
                </w:p>
              </w:tc>
              <w:tc>
                <w:tcPr>
                  <w:tcW w:w="1340" w:type="dxa"/>
                  <w:tcBorders>
                    <w:top w:val="single" w:sz="4" w:space="0" w:color="auto"/>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18.359.462,02</w:t>
                  </w:r>
                </w:p>
              </w:tc>
              <w:tc>
                <w:tcPr>
                  <w:tcW w:w="1300" w:type="dxa"/>
                  <w:tcBorders>
                    <w:top w:val="single" w:sz="4" w:space="0" w:color="auto"/>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17.066.744,86</w:t>
                  </w:r>
                </w:p>
              </w:tc>
              <w:tc>
                <w:tcPr>
                  <w:tcW w:w="860" w:type="dxa"/>
                  <w:tcBorders>
                    <w:top w:val="nil"/>
                    <w:left w:val="nil"/>
                    <w:bottom w:val="single" w:sz="8" w:space="0" w:color="auto"/>
                    <w:right w:val="single" w:sz="4"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42,08%</w:t>
                  </w:r>
                </w:p>
              </w:tc>
              <w:tc>
                <w:tcPr>
                  <w:tcW w:w="940" w:type="dxa"/>
                  <w:tcBorders>
                    <w:top w:val="nil"/>
                    <w:left w:val="nil"/>
                    <w:bottom w:val="single" w:sz="8" w:space="0" w:color="auto"/>
                    <w:right w:val="single" w:sz="8" w:space="0" w:color="auto"/>
                  </w:tcBorders>
                  <w:shd w:val="clear" w:color="000000" w:fill="D9D9D9"/>
                  <w:noWrap/>
                  <w:vAlign w:val="center"/>
                  <w:hideMark/>
                </w:tcPr>
                <w:p w:rsidR="006760EA" w:rsidRPr="004D6720" w:rsidRDefault="006760EA" w:rsidP="00DC5D7B">
                  <w:pPr>
                    <w:jc w:val="right"/>
                    <w:rPr>
                      <w:b/>
                      <w:bCs/>
                      <w:sz w:val="18"/>
                      <w:szCs w:val="18"/>
                      <w:u w:val="single"/>
                      <w:lang w:bidi="he-IL"/>
                    </w:rPr>
                  </w:pPr>
                  <w:r w:rsidRPr="004D6720">
                    <w:rPr>
                      <w:b/>
                      <w:bCs/>
                      <w:sz w:val="18"/>
                      <w:szCs w:val="18"/>
                      <w:u w:val="single"/>
                      <w:lang w:bidi="he-IL"/>
                    </w:rPr>
                    <w:t>90,87%</w:t>
                  </w:r>
                </w:p>
              </w:tc>
            </w:tr>
          </w:tbl>
          <w:p w:rsidR="006760EA" w:rsidRPr="004D6720" w:rsidRDefault="006760EA" w:rsidP="00DC5D7B"/>
          <w:p w:rsidR="006760EA" w:rsidRPr="004D6720" w:rsidRDefault="006760EA" w:rsidP="00DC5D7B"/>
          <w:p w:rsidR="006760EA" w:rsidRPr="004D6720" w:rsidRDefault="006760EA" w:rsidP="00DC5D7B"/>
        </w:tc>
      </w:tr>
    </w:tbl>
    <w:p w:rsidR="006760EA" w:rsidRDefault="006760EA" w:rsidP="006760EA">
      <w:pPr>
        <w:jc w:val="center"/>
        <w:rPr>
          <w:rFonts w:ascii="Calibri" w:hAnsi="Calibri" w:cs="Calibri"/>
          <w:b/>
          <w:bCs/>
          <w:lang w:bidi="he-IL"/>
        </w:rPr>
      </w:pPr>
    </w:p>
    <w:p w:rsidR="006760EA" w:rsidRDefault="006760EA" w:rsidP="006760EA">
      <w:pPr>
        <w:rPr>
          <w:rFonts w:ascii="Calibri" w:hAnsi="Calibri" w:cs="Calibri"/>
          <w:b/>
          <w:bCs/>
          <w:lang w:bidi="he-IL"/>
        </w:rPr>
        <w:sectPr w:rsidR="006760EA" w:rsidSect="001310E3">
          <w:pgSz w:w="16840" w:h="11907" w:orient="landscape" w:code="9"/>
          <w:pgMar w:top="1304" w:right="1418" w:bottom="1304" w:left="1418" w:header="720" w:footer="720" w:gutter="0"/>
          <w:cols w:space="720"/>
        </w:sectPr>
      </w:pPr>
    </w:p>
    <w:p w:rsidR="006760EA" w:rsidRPr="002071C9" w:rsidRDefault="006760EA" w:rsidP="006760EA">
      <w:pPr>
        <w:spacing w:line="360" w:lineRule="auto"/>
        <w:jc w:val="both"/>
        <w:rPr>
          <w:rFonts w:asciiTheme="minorHAnsi" w:hAnsiTheme="minorHAnsi" w:cstheme="minorHAnsi"/>
          <w:bCs/>
          <w:iCs/>
          <w:sz w:val="24"/>
          <w:szCs w:val="24"/>
        </w:rPr>
      </w:pPr>
      <w:r w:rsidRPr="002071C9">
        <w:rPr>
          <w:rFonts w:asciiTheme="minorHAnsi" w:hAnsiTheme="minorHAnsi" w:cstheme="minorHAnsi"/>
          <w:bCs/>
          <w:iCs/>
          <w:sz w:val="24"/>
          <w:szCs w:val="24"/>
        </w:rPr>
        <w:lastRenderedPageBreak/>
        <w:t xml:space="preserve">Από τους παραπάνω πίνακες προκύπτει ότι, μέχρι 30/9/2025, ο προϋπολογισμός που  διαμορφώθηκε στα </w:t>
      </w:r>
      <w:r w:rsidRPr="002071C9">
        <w:rPr>
          <w:rFonts w:asciiTheme="minorHAnsi" w:hAnsiTheme="minorHAnsi" w:cstheme="minorHAnsi"/>
          <w:b/>
          <w:bCs/>
          <w:sz w:val="24"/>
          <w:szCs w:val="24"/>
          <w:u w:val="single"/>
          <w:lang w:bidi="he-IL"/>
        </w:rPr>
        <w:t xml:space="preserve">40.561.419,27 για τα έσοδα </w:t>
      </w:r>
      <w:r w:rsidRPr="002071C9">
        <w:rPr>
          <w:rFonts w:asciiTheme="minorHAnsi" w:hAnsiTheme="minorHAnsi" w:cstheme="minorHAnsi"/>
          <w:sz w:val="24"/>
          <w:szCs w:val="24"/>
          <w:u w:val="single"/>
          <w:lang w:bidi="he-IL"/>
        </w:rPr>
        <w:t xml:space="preserve"> και </w:t>
      </w:r>
      <w:r w:rsidRPr="002071C9">
        <w:rPr>
          <w:rFonts w:asciiTheme="minorHAnsi" w:hAnsiTheme="minorHAnsi" w:cstheme="minorHAnsi"/>
          <w:b/>
          <w:bCs/>
          <w:sz w:val="24"/>
          <w:szCs w:val="24"/>
          <w:u w:val="single"/>
          <w:lang w:bidi="he-IL"/>
        </w:rPr>
        <w:t>τα έξοδα</w:t>
      </w:r>
      <w:r w:rsidRPr="002071C9">
        <w:rPr>
          <w:rFonts w:asciiTheme="minorHAnsi" w:hAnsiTheme="minorHAnsi" w:cstheme="minorHAnsi"/>
          <w:bCs/>
          <w:iCs/>
          <w:sz w:val="24"/>
          <w:szCs w:val="24"/>
        </w:rPr>
        <w:t xml:space="preserve"> εκτελέσθηκε ως εξής:</w:t>
      </w:r>
    </w:p>
    <w:p w:rsidR="006760EA" w:rsidRPr="002071C9" w:rsidRDefault="006760EA" w:rsidP="006760EA">
      <w:pPr>
        <w:pStyle w:val="a8"/>
        <w:numPr>
          <w:ilvl w:val="0"/>
          <w:numId w:val="1"/>
        </w:numPr>
        <w:spacing w:line="360" w:lineRule="auto"/>
        <w:ind w:left="284" w:hanging="284"/>
        <w:jc w:val="both"/>
        <w:rPr>
          <w:rFonts w:asciiTheme="minorHAnsi" w:hAnsiTheme="minorHAnsi" w:cstheme="minorHAnsi"/>
          <w:bCs/>
          <w:iCs/>
          <w:sz w:val="24"/>
          <w:szCs w:val="24"/>
        </w:rPr>
      </w:pPr>
      <w:r w:rsidRPr="002071C9">
        <w:rPr>
          <w:rFonts w:asciiTheme="minorHAnsi" w:hAnsiTheme="minorHAnsi" w:cstheme="minorHAnsi"/>
          <w:bCs/>
          <w:iCs/>
          <w:sz w:val="24"/>
          <w:szCs w:val="24"/>
          <w:lang w:val="en-US"/>
        </w:rPr>
        <w:t>B</w:t>
      </w:r>
      <w:r w:rsidRPr="002071C9">
        <w:rPr>
          <w:rFonts w:asciiTheme="minorHAnsi" w:hAnsiTheme="minorHAnsi" w:cstheme="minorHAnsi"/>
          <w:bCs/>
          <w:iCs/>
          <w:sz w:val="24"/>
          <w:szCs w:val="24"/>
        </w:rPr>
        <w:t xml:space="preserve">βεβαιώθηκαν έσοδα </w:t>
      </w:r>
      <w:r w:rsidRPr="002071C9">
        <w:rPr>
          <w:rFonts w:asciiTheme="minorHAnsi" w:hAnsiTheme="minorHAnsi" w:cstheme="minorHAnsi"/>
          <w:b/>
          <w:bCs/>
          <w:sz w:val="24"/>
          <w:szCs w:val="24"/>
          <w:u w:val="single"/>
          <w:lang w:bidi="he-IL"/>
        </w:rPr>
        <w:t xml:space="preserve">27.109.344,68€ </w:t>
      </w:r>
      <w:r w:rsidRPr="002071C9">
        <w:rPr>
          <w:rFonts w:asciiTheme="minorHAnsi" w:hAnsiTheme="minorHAnsi" w:cstheme="minorHAnsi"/>
          <w:bCs/>
          <w:iCs/>
          <w:sz w:val="24"/>
          <w:szCs w:val="24"/>
        </w:rPr>
        <w:t xml:space="preserve">(66,84%) και εισπράχθηκαν </w:t>
      </w:r>
      <w:r w:rsidRPr="002071C9">
        <w:rPr>
          <w:rFonts w:asciiTheme="minorHAnsi" w:hAnsiTheme="minorHAnsi" w:cstheme="minorHAnsi"/>
          <w:b/>
          <w:bCs/>
          <w:iCs/>
          <w:sz w:val="24"/>
          <w:szCs w:val="24"/>
          <w:u w:val="single"/>
        </w:rPr>
        <w:t>22.170.959,53€</w:t>
      </w:r>
      <w:r w:rsidRPr="002071C9">
        <w:rPr>
          <w:rFonts w:asciiTheme="minorHAnsi" w:hAnsiTheme="minorHAnsi" w:cstheme="minorHAnsi"/>
          <w:b/>
          <w:bCs/>
          <w:iCs/>
          <w:sz w:val="24"/>
          <w:szCs w:val="24"/>
        </w:rPr>
        <w:t xml:space="preserve"> </w:t>
      </w:r>
      <w:r w:rsidRPr="002071C9">
        <w:rPr>
          <w:rFonts w:asciiTheme="minorHAnsi" w:hAnsiTheme="minorHAnsi" w:cstheme="minorHAnsi"/>
          <w:bCs/>
          <w:iCs/>
          <w:sz w:val="24"/>
          <w:szCs w:val="24"/>
        </w:rPr>
        <w:t>(54,66%),συμπεριλαμβανομένου και του χρηματικού  υπολοίπου του 2024 (6.507.379,59€) και συνεπώς οι εισπράξεις του 2025 ήταν 15.663.579,94€.</w:t>
      </w:r>
    </w:p>
    <w:p w:rsidR="006760EA" w:rsidRPr="002071C9" w:rsidRDefault="006760EA" w:rsidP="006760EA">
      <w:pPr>
        <w:numPr>
          <w:ilvl w:val="0"/>
          <w:numId w:val="1"/>
        </w:numPr>
        <w:spacing w:line="360" w:lineRule="auto"/>
        <w:ind w:left="284" w:hanging="284"/>
        <w:jc w:val="both"/>
        <w:rPr>
          <w:rFonts w:asciiTheme="minorHAnsi" w:hAnsiTheme="minorHAnsi" w:cstheme="minorHAnsi"/>
          <w:bCs/>
          <w:iCs/>
          <w:sz w:val="24"/>
          <w:szCs w:val="24"/>
        </w:rPr>
      </w:pPr>
      <w:r w:rsidRPr="002071C9">
        <w:rPr>
          <w:rFonts w:asciiTheme="minorHAnsi" w:hAnsiTheme="minorHAnsi" w:cstheme="minorHAnsi"/>
          <w:bCs/>
          <w:iCs/>
          <w:sz w:val="24"/>
          <w:szCs w:val="24"/>
        </w:rPr>
        <w:t xml:space="preserve">Τιμολογήθηκαν δαπάνες </w:t>
      </w:r>
      <w:r w:rsidRPr="002071C9">
        <w:rPr>
          <w:rFonts w:asciiTheme="minorHAnsi" w:hAnsiTheme="minorHAnsi" w:cstheme="minorHAnsi"/>
          <w:b/>
          <w:iCs/>
          <w:sz w:val="24"/>
          <w:szCs w:val="24"/>
          <w:u w:val="single"/>
        </w:rPr>
        <w:t>18.781.986,92€</w:t>
      </w:r>
      <w:r w:rsidRPr="002071C9">
        <w:rPr>
          <w:rFonts w:asciiTheme="minorHAnsi" w:hAnsiTheme="minorHAnsi" w:cstheme="minorHAnsi"/>
          <w:bCs/>
          <w:iCs/>
          <w:sz w:val="24"/>
          <w:szCs w:val="24"/>
        </w:rPr>
        <w:t xml:space="preserve"> (46,31%) εκ των οποίων </w:t>
      </w:r>
      <w:proofErr w:type="spellStart"/>
      <w:r w:rsidRPr="002071C9">
        <w:rPr>
          <w:rFonts w:asciiTheme="minorHAnsi" w:hAnsiTheme="minorHAnsi" w:cstheme="minorHAnsi"/>
          <w:bCs/>
          <w:iCs/>
          <w:sz w:val="24"/>
          <w:szCs w:val="24"/>
        </w:rPr>
        <w:t>ενταλματο</w:t>
      </w:r>
      <w:proofErr w:type="spellEnd"/>
      <w:r w:rsidRPr="002071C9">
        <w:rPr>
          <w:rFonts w:asciiTheme="minorHAnsi" w:hAnsiTheme="minorHAnsi" w:cstheme="minorHAnsi"/>
          <w:bCs/>
          <w:iCs/>
          <w:sz w:val="24"/>
          <w:szCs w:val="24"/>
        </w:rPr>
        <w:t xml:space="preserve">-ποιήθηκαν 18.359.462,02€ και πληρώθηκαν </w:t>
      </w:r>
      <w:r w:rsidRPr="002071C9">
        <w:rPr>
          <w:rFonts w:asciiTheme="minorHAnsi" w:hAnsiTheme="minorHAnsi" w:cstheme="minorHAnsi"/>
          <w:b/>
          <w:bCs/>
          <w:iCs/>
          <w:sz w:val="24"/>
          <w:szCs w:val="24"/>
          <w:u w:val="single"/>
        </w:rPr>
        <w:t>17.066.744,86€</w:t>
      </w:r>
      <w:r w:rsidRPr="002071C9">
        <w:rPr>
          <w:rFonts w:asciiTheme="minorHAnsi" w:hAnsiTheme="minorHAnsi" w:cstheme="minorHAnsi"/>
          <w:b/>
          <w:bCs/>
          <w:iCs/>
          <w:sz w:val="24"/>
          <w:szCs w:val="24"/>
        </w:rPr>
        <w:t xml:space="preserve"> </w:t>
      </w:r>
      <w:r w:rsidRPr="002071C9">
        <w:rPr>
          <w:rFonts w:asciiTheme="minorHAnsi" w:hAnsiTheme="minorHAnsi" w:cstheme="minorHAnsi"/>
          <w:bCs/>
          <w:iCs/>
          <w:sz w:val="24"/>
          <w:szCs w:val="24"/>
        </w:rPr>
        <w:t>(42,08%)</w:t>
      </w:r>
    </w:p>
    <w:p w:rsidR="006760EA" w:rsidRPr="002071C9" w:rsidRDefault="006760EA" w:rsidP="006760EA">
      <w:pPr>
        <w:numPr>
          <w:ilvl w:val="0"/>
          <w:numId w:val="1"/>
        </w:numPr>
        <w:spacing w:line="360" w:lineRule="auto"/>
        <w:ind w:left="284" w:hanging="284"/>
        <w:jc w:val="both"/>
        <w:rPr>
          <w:rFonts w:asciiTheme="minorHAnsi" w:hAnsiTheme="minorHAnsi" w:cstheme="minorHAnsi"/>
          <w:bCs/>
          <w:iCs/>
          <w:sz w:val="24"/>
          <w:szCs w:val="24"/>
        </w:rPr>
      </w:pPr>
      <w:r w:rsidRPr="002071C9">
        <w:rPr>
          <w:rFonts w:asciiTheme="minorHAnsi" w:hAnsiTheme="minorHAnsi" w:cstheme="minorHAnsi"/>
          <w:bCs/>
          <w:iCs/>
          <w:sz w:val="24"/>
          <w:szCs w:val="24"/>
        </w:rPr>
        <w:t xml:space="preserve">Τα χρηματικά διαθέσιμα (χρηματικό υπόλοιπο) διαμορφώθηκαν την 30/9/2025 στα </w:t>
      </w:r>
      <w:r w:rsidRPr="002071C9">
        <w:rPr>
          <w:rFonts w:asciiTheme="minorHAnsi" w:hAnsiTheme="minorHAnsi" w:cstheme="minorHAnsi"/>
          <w:b/>
          <w:iCs/>
          <w:sz w:val="24"/>
          <w:szCs w:val="24"/>
          <w:u w:val="single"/>
        </w:rPr>
        <w:t>5.104.214,67€</w:t>
      </w:r>
      <w:r w:rsidRPr="002071C9">
        <w:rPr>
          <w:rStyle w:val="a7"/>
          <w:rFonts w:asciiTheme="minorHAnsi" w:hAnsiTheme="minorHAnsi" w:cstheme="minorHAnsi"/>
          <w:b/>
          <w:iCs/>
          <w:sz w:val="24"/>
          <w:szCs w:val="24"/>
          <w:u w:val="single"/>
        </w:rPr>
        <w:footnoteReference w:id="1"/>
      </w:r>
    </w:p>
    <w:p w:rsidR="006760EA" w:rsidRPr="002071C9" w:rsidRDefault="006760EA" w:rsidP="006760EA">
      <w:pPr>
        <w:spacing w:line="360" w:lineRule="auto"/>
        <w:jc w:val="both"/>
        <w:rPr>
          <w:rFonts w:asciiTheme="minorHAnsi" w:hAnsiTheme="minorHAnsi" w:cstheme="minorHAnsi"/>
          <w:bCs/>
          <w:iCs/>
          <w:sz w:val="24"/>
          <w:szCs w:val="24"/>
        </w:rPr>
      </w:pPr>
    </w:p>
    <w:p w:rsidR="006760EA" w:rsidRPr="002071C9" w:rsidRDefault="006760EA" w:rsidP="006760EA">
      <w:pPr>
        <w:spacing w:line="360" w:lineRule="auto"/>
        <w:jc w:val="both"/>
        <w:rPr>
          <w:rFonts w:asciiTheme="minorHAnsi" w:hAnsiTheme="minorHAnsi" w:cstheme="minorHAnsi"/>
          <w:bCs/>
          <w:iCs/>
          <w:sz w:val="24"/>
          <w:szCs w:val="24"/>
        </w:rPr>
      </w:pPr>
      <w:r w:rsidRPr="002071C9">
        <w:rPr>
          <w:rFonts w:asciiTheme="minorHAnsi" w:hAnsiTheme="minorHAnsi" w:cstheme="minorHAnsi"/>
          <w:bCs/>
          <w:iCs/>
          <w:sz w:val="24"/>
          <w:szCs w:val="24"/>
        </w:rPr>
        <w:t xml:space="preserve">Επειδή τα πραγματικά έσοδα και δαπάνες του 2025 προκύπτουν αν αφαιρέσουμε τις προβλέψεις μη είσπραξης εισπρακτέων υπολοίπων (Κ.Α. 85), που ανέρχονται στα 4.412.852,52€, </w:t>
      </w:r>
      <w:r w:rsidRPr="002071C9">
        <w:rPr>
          <w:rFonts w:asciiTheme="minorHAnsi" w:hAnsiTheme="minorHAnsi" w:cstheme="minorHAnsi"/>
          <w:b/>
          <w:bCs/>
          <w:iCs/>
          <w:sz w:val="24"/>
          <w:szCs w:val="24"/>
        </w:rPr>
        <w:t>ο πραγματικός προϋπολογισμός έχει διαμορφωθεί στα 36.148.566,75€,</w:t>
      </w:r>
      <w:r w:rsidRPr="002071C9">
        <w:rPr>
          <w:rFonts w:asciiTheme="minorHAnsi" w:hAnsiTheme="minorHAnsi" w:cstheme="minorHAnsi"/>
          <w:bCs/>
          <w:iCs/>
          <w:sz w:val="24"/>
          <w:szCs w:val="24"/>
        </w:rPr>
        <w:t xml:space="preserve"> που έχει υλοποιηθεί την 30/9/2025 σε ποσοστό 61,33% ως προς τις εισπράξεις και 47,21% ως προς τις πληρωμές. </w:t>
      </w:r>
    </w:p>
    <w:p w:rsidR="006760EA" w:rsidRPr="002071C9" w:rsidRDefault="006760EA" w:rsidP="006760EA">
      <w:pPr>
        <w:spacing w:line="360" w:lineRule="auto"/>
        <w:jc w:val="both"/>
        <w:rPr>
          <w:rFonts w:asciiTheme="minorHAnsi" w:hAnsiTheme="minorHAnsi" w:cstheme="minorHAnsi"/>
          <w:bCs/>
          <w:iCs/>
          <w:sz w:val="24"/>
          <w:szCs w:val="24"/>
        </w:rPr>
      </w:pPr>
      <w:r w:rsidRPr="002071C9">
        <w:rPr>
          <w:rFonts w:asciiTheme="minorHAnsi" w:hAnsiTheme="minorHAnsi" w:cstheme="minorHAnsi"/>
          <w:bCs/>
          <w:iCs/>
          <w:sz w:val="24"/>
          <w:szCs w:val="24"/>
        </w:rPr>
        <w:t xml:space="preserve">Προκειμένου να έχουμε </w:t>
      </w:r>
      <w:r w:rsidRPr="002071C9">
        <w:rPr>
          <w:rFonts w:asciiTheme="minorHAnsi" w:hAnsiTheme="minorHAnsi" w:cstheme="minorHAnsi"/>
          <w:b/>
          <w:bCs/>
          <w:iCs/>
          <w:sz w:val="24"/>
          <w:szCs w:val="24"/>
        </w:rPr>
        <w:t>μέτρο σύγκρισης</w:t>
      </w:r>
      <w:r w:rsidRPr="002071C9">
        <w:rPr>
          <w:rFonts w:asciiTheme="minorHAnsi" w:hAnsiTheme="minorHAnsi" w:cstheme="minorHAnsi"/>
          <w:bCs/>
          <w:iCs/>
          <w:sz w:val="24"/>
          <w:szCs w:val="24"/>
        </w:rPr>
        <w:t xml:space="preserve"> των εισπράξεων και πληρωμών του Γ’ τριμήνου 2025 με το αντίστοιχο διάστημα του 2024 από τους παρακάτω πίνακες 1 και 2 προκύπτει ότι:</w:t>
      </w:r>
    </w:p>
    <w:p w:rsidR="006760EA" w:rsidRPr="002071C9" w:rsidRDefault="006760EA" w:rsidP="006760EA">
      <w:pPr>
        <w:spacing w:line="360" w:lineRule="auto"/>
        <w:jc w:val="both"/>
        <w:rPr>
          <w:rFonts w:asciiTheme="minorHAnsi" w:hAnsiTheme="minorHAnsi" w:cstheme="minorHAnsi"/>
          <w:bCs/>
          <w:iCs/>
          <w:sz w:val="24"/>
          <w:szCs w:val="24"/>
        </w:rPr>
      </w:pPr>
      <w:r w:rsidRPr="00AA5D4D">
        <w:rPr>
          <w:rFonts w:asciiTheme="minorHAnsi" w:hAnsiTheme="minorHAnsi" w:cstheme="minorHAnsi"/>
          <w:b/>
          <w:bCs/>
          <w:iCs/>
          <w:sz w:val="24"/>
          <w:szCs w:val="24"/>
          <w:u w:val="single"/>
        </w:rPr>
        <w:t>Οι συνολικές εισπράξεις το Γ’ τρίμηνο του 2025</w:t>
      </w:r>
      <w:r w:rsidRPr="002071C9">
        <w:rPr>
          <w:rFonts w:asciiTheme="minorHAnsi" w:hAnsiTheme="minorHAnsi" w:cstheme="minorHAnsi"/>
          <w:bCs/>
          <w:iCs/>
          <w:sz w:val="24"/>
          <w:szCs w:val="24"/>
        </w:rPr>
        <w:t xml:space="preserve"> (30/9) ήταν αυξημένες κατά </w:t>
      </w:r>
      <w:r w:rsidRPr="00AA5D4D">
        <w:rPr>
          <w:rFonts w:asciiTheme="minorHAnsi" w:hAnsiTheme="minorHAnsi" w:cstheme="minorHAnsi"/>
          <w:b/>
          <w:bCs/>
          <w:iCs/>
          <w:sz w:val="24"/>
          <w:szCs w:val="24"/>
        </w:rPr>
        <w:t xml:space="preserve">1.490.802,70€ </w:t>
      </w:r>
      <w:r w:rsidRPr="00AA5D4D">
        <w:rPr>
          <w:rFonts w:asciiTheme="minorHAnsi" w:hAnsiTheme="minorHAnsi" w:cstheme="minorHAnsi"/>
          <w:bCs/>
          <w:iCs/>
          <w:sz w:val="24"/>
          <w:szCs w:val="24"/>
        </w:rPr>
        <w:t xml:space="preserve">σε </w:t>
      </w:r>
      <w:r w:rsidRPr="002071C9">
        <w:rPr>
          <w:rFonts w:asciiTheme="minorHAnsi" w:hAnsiTheme="minorHAnsi" w:cstheme="minorHAnsi"/>
          <w:bCs/>
          <w:iCs/>
          <w:sz w:val="24"/>
          <w:szCs w:val="24"/>
        </w:rPr>
        <w:t xml:space="preserve">σχέση με το αντίστοιχο διάστημα του 2024 </w:t>
      </w:r>
      <w:r w:rsidRPr="00AA5D4D">
        <w:rPr>
          <w:rFonts w:asciiTheme="minorHAnsi" w:hAnsiTheme="minorHAnsi" w:cstheme="minorHAnsi"/>
          <w:b/>
          <w:bCs/>
          <w:iCs/>
          <w:sz w:val="24"/>
          <w:szCs w:val="24"/>
        </w:rPr>
        <w:t>( +7,21%).</w:t>
      </w:r>
    </w:p>
    <w:p w:rsidR="006760EA" w:rsidRPr="002071C9" w:rsidRDefault="006760EA" w:rsidP="006760EA">
      <w:pPr>
        <w:spacing w:line="360" w:lineRule="auto"/>
        <w:jc w:val="both"/>
        <w:rPr>
          <w:rFonts w:asciiTheme="minorHAnsi" w:hAnsiTheme="minorHAnsi" w:cstheme="minorHAnsi"/>
          <w:bCs/>
          <w:iCs/>
          <w:sz w:val="24"/>
          <w:szCs w:val="24"/>
        </w:rPr>
      </w:pPr>
      <w:r w:rsidRPr="00AA5D4D">
        <w:rPr>
          <w:rFonts w:asciiTheme="minorHAnsi" w:hAnsiTheme="minorHAnsi" w:cstheme="minorHAnsi"/>
          <w:b/>
          <w:bCs/>
          <w:iCs/>
          <w:sz w:val="24"/>
          <w:szCs w:val="24"/>
          <w:u w:val="single"/>
        </w:rPr>
        <w:t>Οι συνολικές πληρωμές το Γ’ τρίμηνο του 2025 αυξημένες</w:t>
      </w:r>
      <w:r w:rsidRPr="002071C9">
        <w:rPr>
          <w:rFonts w:asciiTheme="minorHAnsi" w:hAnsiTheme="minorHAnsi" w:cstheme="minorHAnsi"/>
          <w:bCs/>
          <w:iCs/>
          <w:sz w:val="24"/>
          <w:szCs w:val="24"/>
        </w:rPr>
        <w:t xml:space="preserve"> κατά </w:t>
      </w:r>
      <w:r w:rsidRPr="00AA5D4D">
        <w:rPr>
          <w:rFonts w:asciiTheme="minorHAnsi" w:hAnsiTheme="minorHAnsi" w:cstheme="minorHAnsi"/>
          <w:b/>
          <w:bCs/>
          <w:iCs/>
          <w:sz w:val="24"/>
          <w:szCs w:val="24"/>
        </w:rPr>
        <w:t>1.847.160,75€ ( + 12,14%)</w:t>
      </w:r>
      <w:r w:rsidRPr="002071C9">
        <w:rPr>
          <w:rFonts w:asciiTheme="minorHAnsi" w:hAnsiTheme="minorHAnsi" w:cstheme="minorHAnsi"/>
          <w:bCs/>
          <w:iCs/>
          <w:sz w:val="24"/>
          <w:szCs w:val="24"/>
        </w:rPr>
        <w:t xml:space="preserve"> σε σχέση με το αντίστοιχο διάστημα του 2024</w:t>
      </w:r>
      <w:r>
        <w:rPr>
          <w:rFonts w:asciiTheme="minorHAnsi" w:hAnsiTheme="minorHAnsi" w:cstheme="minorHAnsi"/>
          <w:bCs/>
          <w:iCs/>
          <w:sz w:val="24"/>
          <w:szCs w:val="24"/>
        </w:rPr>
        <w:t>.</w:t>
      </w:r>
    </w:p>
    <w:p w:rsidR="006760EA" w:rsidRPr="00AA5D4D" w:rsidRDefault="006760EA" w:rsidP="006760EA">
      <w:pPr>
        <w:spacing w:line="360" w:lineRule="auto"/>
        <w:jc w:val="both"/>
        <w:rPr>
          <w:rFonts w:asciiTheme="minorHAnsi" w:hAnsiTheme="minorHAnsi" w:cstheme="minorHAnsi"/>
          <w:bCs/>
          <w:iCs/>
          <w:sz w:val="24"/>
          <w:szCs w:val="24"/>
        </w:rPr>
      </w:pPr>
      <w:r w:rsidRPr="00AA5D4D">
        <w:rPr>
          <w:rFonts w:asciiTheme="minorHAnsi" w:hAnsiTheme="minorHAnsi" w:cstheme="minorHAnsi"/>
          <w:bCs/>
          <w:iCs/>
          <w:sz w:val="24"/>
          <w:szCs w:val="24"/>
        </w:rPr>
        <w:t>Η αύξηση  των συνολικών εισπράξεων οφείλεται κυρίως  στην αύξηση των τακτικών εσόδων (του έτους) κατά 1.100.143€ και των εσόδων Π.Ο.Ε. που βεβαιώθηκαν και εισπράχθηκαν για πρώτη φορά το 2025  κατά 251.622€, ενώ το χρηματικό υπόλοιπο του προηγούμενου έτους που μεταφέρθηκε στο 2025 ήταν μεγαλύτερο κατά 813.850€ ευρώ σε σύγκριση με το 2024 ( 6.507.379,59 ευρώ το 2025 έναντι 5.693.529,35 ευρώ το 2024).</w:t>
      </w:r>
    </w:p>
    <w:p w:rsidR="006760EA" w:rsidRPr="00AA5D4D" w:rsidRDefault="006760EA" w:rsidP="006760EA">
      <w:pPr>
        <w:spacing w:line="360" w:lineRule="auto"/>
        <w:jc w:val="both"/>
        <w:rPr>
          <w:rFonts w:asciiTheme="minorHAnsi" w:hAnsiTheme="minorHAnsi" w:cstheme="minorHAnsi"/>
          <w:bCs/>
          <w:iCs/>
          <w:sz w:val="24"/>
          <w:szCs w:val="24"/>
        </w:rPr>
      </w:pPr>
      <w:r w:rsidRPr="00AA5D4D">
        <w:rPr>
          <w:rFonts w:asciiTheme="minorHAnsi" w:hAnsiTheme="minorHAnsi" w:cstheme="minorHAnsi"/>
          <w:bCs/>
          <w:iCs/>
          <w:sz w:val="24"/>
          <w:szCs w:val="24"/>
        </w:rPr>
        <w:t>Η αύξηση των συνολικών πληρωμών οφείλεται στην αύξηση των πληρωμών σε όλες τις ομάδες εξόδων και κυρίως στην αύξηση των πληρωμών για έξοδα χρήσης κατά 1.088.097€ και των πληρωμών για υποχρεώσεις Π.Ο.Ε. κατά 515.384€.</w:t>
      </w:r>
    </w:p>
    <w:p w:rsidR="006760EA" w:rsidRPr="006C7F26" w:rsidRDefault="006760EA" w:rsidP="006760EA">
      <w:pPr>
        <w:spacing w:line="360" w:lineRule="auto"/>
        <w:jc w:val="both"/>
        <w:rPr>
          <w:bCs/>
          <w:iCs/>
        </w:rPr>
      </w:pPr>
    </w:p>
    <w:p w:rsidR="006760EA" w:rsidRDefault="006760EA" w:rsidP="006760EA">
      <w:pPr>
        <w:pStyle w:val="ab"/>
        <w:numPr>
          <w:ilvl w:val="0"/>
          <w:numId w:val="1"/>
        </w:numPr>
        <w:jc w:val="center"/>
        <w:rPr>
          <w:b/>
          <w:bCs/>
          <w:i w:val="0"/>
          <w:iCs w:val="0"/>
          <w:color w:val="auto"/>
          <w:sz w:val="24"/>
          <w:szCs w:val="24"/>
        </w:rPr>
      </w:pPr>
      <w:bookmarkStart w:id="2" w:name="_Toc211508433"/>
      <w:r w:rsidRPr="00D74233">
        <w:rPr>
          <w:b/>
          <w:bCs/>
          <w:i w:val="0"/>
          <w:iCs w:val="0"/>
          <w:color w:val="auto"/>
          <w:sz w:val="24"/>
          <w:szCs w:val="24"/>
        </w:rPr>
        <w:lastRenderedPageBreak/>
        <w:t xml:space="preserve">Πίνακας </w:t>
      </w:r>
      <w:r w:rsidR="009314D8" w:rsidRPr="00D74233">
        <w:rPr>
          <w:b/>
          <w:bCs/>
          <w:i w:val="0"/>
          <w:iCs w:val="0"/>
          <w:color w:val="auto"/>
          <w:sz w:val="24"/>
          <w:szCs w:val="24"/>
        </w:rPr>
        <w:fldChar w:fldCharType="begin"/>
      </w:r>
      <w:r w:rsidRPr="00D74233">
        <w:rPr>
          <w:b/>
          <w:bCs/>
          <w:i w:val="0"/>
          <w:iCs w:val="0"/>
          <w:color w:val="auto"/>
          <w:sz w:val="24"/>
          <w:szCs w:val="24"/>
        </w:rPr>
        <w:instrText xml:space="preserve"> SEQ Πίνακας \* ARABIC </w:instrText>
      </w:r>
      <w:r w:rsidR="009314D8" w:rsidRPr="00D74233">
        <w:rPr>
          <w:b/>
          <w:bCs/>
          <w:i w:val="0"/>
          <w:iCs w:val="0"/>
          <w:color w:val="auto"/>
          <w:sz w:val="24"/>
          <w:szCs w:val="24"/>
        </w:rPr>
        <w:fldChar w:fldCharType="separate"/>
      </w:r>
      <w:r w:rsidR="002317CA">
        <w:rPr>
          <w:b/>
          <w:bCs/>
          <w:i w:val="0"/>
          <w:iCs w:val="0"/>
          <w:noProof/>
          <w:color w:val="auto"/>
          <w:sz w:val="24"/>
          <w:szCs w:val="24"/>
        </w:rPr>
        <w:t>1</w:t>
      </w:r>
      <w:r w:rsidR="009314D8" w:rsidRPr="00D74233">
        <w:rPr>
          <w:b/>
          <w:bCs/>
          <w:i w:val="0"/>
          <w:iCs w:val="0"/>
          <w:color w:val="auto"/>
          <w:sz w:val="24"/>
          <w:szCs w:val="24"/>
        </w:rPr>
        <w:fldChar w:fldCharType="end"/>
      </w:r>
      <w:r w:rsidRPr="00D74233">
        <w:rPr>
          <w:b/>
          <w:bCs/>
          <w:i w:val="0"/>
          <w:iCs w:val="0"/>
          <w:color w:val="auto"/>
          <w:sz w:val="24"/>
          <w:szCs w:val="24"/>
        </w:rPr>
        <w:t xml:space="preserve">. Σύγκριση εισπράξεων </w:t>
      </w:r>
      <w:r>
        <w:rPr>
          <w:b/>
          <w:bCs/>
          <w:i w:val="0"/>
          <w:iCs w:val="0"/>
          <w:color w:val="auto"/>
          <w:sz w:val="24"/>
          <w:szCs w:val="24"/>
        </w:rPr>
        <w:t>Γ</w:t>
      </w:r>
      <w:r w:rsidRPr="00D74233">
        <w:rPr>
          <w:b/>
          <w:bCs/>
          <w:i w:val="0"/>
          <w:iCs w:val="0"/>
          <w:color w:val="auto"/>
          <w:sz w:val="24"/>
          <w:szCs w:val="24"/>
        </w:rPr>
        <w:t xml:space="preserve">’ </w:t>
      </w:r>
      <w:r>
        <w:rPr>
          <w:b/>
          <w:bCs/>
          <w:i w:val="0"/>
          <w:iCs w:val="0"/>
          <w:color w:val="auto"/>
          <w:sz w:val="24"/>
          <w:szCs w:val="24"/>
        </w:rPr>
        <w:t>3</w:t>
      </w:r>
      <w:r w:rsidRPr="00D74233">
        <w:rPr>
          <w:b/>
          <w:bCs/>
          <w:i w:val="0"/>
          <w:iCs w:val="0"/>
          <w:color w:val="auto"/>
          <w:sz w:val="24"/>
          <w:szCs w:val="24"/>
        </w:rPr>
        <w:t>μηνου 2025-2024</w:t>
      </w:r>
      <w:bookmarkEnd w:id="2"/>
    </w:p>
    <w:tbl>
      <w:tblPr>
        <w:tblW w:w="7660" w:type="dxa"/>
        <w:jc w:val="center"/>
        <w:tblLook w:val="04A0"/>
      </w:tblPr>
      <w:tblGrid>
        <w:gridCol w:w="639"/>
        <w:gridCol w:w="2292"/>
        <w:gridCol w:w="1317"/>
        <w:gridCol w:w="1298"/>
        <w:gridCol w:w="1161"/>
        <w:gridCol w:w="953"/>
      </w:tblGrid>
      <w:tr w:rsidR="006760EA" w:rsidRPr="003718E9" w:rsidTr="00DC5D7B">
        <w:trPr>
          <w:trHeight w:val="493"/>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Κ.Α.</w:t>
            </w:r>
          </w:p>
        </w:tc>
        <w:tc>
          <w:tcPr>
            <w:tcW w:w="23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Περιγραφή</w:t>
            </w:r>
          </w:p>
        </w:tc>
        <w:tc>
          <w:tcPr>
            <w:tcW w:w="1320"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Εισπράξεις 30/9/2024</w:t>
            </w:r>
          </w:p>
        </w:tc>
        <w:tc>
          <w:tcPr>
            <w:tcW w:w="1300"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Εισπράξεις 30/9/2025</w:t>
            </w:r>
          </w:p>
        </w:tc>
        <w:tc>
          <w:tcPr>
            <w:tcW w:w="1100"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Διαφορά</w:t>
            </w:r>
          </w:p>
        </w:tc>
        <w:tc>
          <w:tcPr>
            <w:tcW w:w="960"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 xml:space="preserve">Μεταβ. % </w:t>
            </w:r>
          </w:p>
        </w:tc>
      </w:tr>
      <w:tr w:rsidR="006760EA" w:rsidRPr="003718E9" w:rsidTr="00DC5D7B">
        <w:trPr>
          <w:trHeight w:val="189"/>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760EA" w:rsidRPr="003718E9" w:rsidRDefault="006760EA" w:rsidP="00DC5D7B">
            <w:pPr>
              <w:rPr>
                <w:b/>
                <w:bCs/>
                <w:sz w:val="18"/>
                <w:szCs w:val="18"/>
                <w:lang w:bidi="he-IL"/>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6760EA" w:rsidRPr="003718E9" w:rsidRDefault="006760EA" w:rsidP="00DC5D7B">
            <w:pPr>
              <w:rPr>
                <w:b/>
                <w:bCs/>
                <w:sz w:val="18"/>
                <w:szCs w:val="18"/>
                <w:lang w:bidi="he-IL"/>
              </w:rPr>
            </w:pPr>
          </w:p>
        </w:tc>
        <w:tc>
          <w:tcPr>
            <w:tcW w:w="1320" w:type="dxa"/>
            <w:tcBorders>
              <w:top w:val="nil"/>
              <w:left w:val="nil"/>
              <w:bottom w:val="nil"/>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(1)</w:t>
            </w:r>
          </w:p>
        </w:tc>
        <w:tc>
          <w:tcPr>
            <w:tcW w:w="1300" w:type="dxa"/>
            <w:tcBorders>
              <w:top w:val="nil"/>
              <w:left w:val="nil"/>
              <w:bottom w:val="nil"/>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w:t>
            </w:r>
          </w:p>
        </w:tc>
        <w:tc>
          <w:tcPr>
            <w:tcW w:w="1100" w:type="dxa"/>
            <w:tcBorders>
              <w:top w:val="nil"/>
              <w:left w:val="nil"/>
              <w:bottom w:val="nil"/>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 - (1)</w:t>
            </w:r>
          </w:p>
        </w:tc>
        <w:tc>
          <w:tcPr>
            <w:tcW w:w="960" w:type="dxa"/>
            <w:tcBorders>
              <w:top w:val="nil"/>
              <w:left w:val="nil"/>
              <w:bottom w:val="nil"/>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2/1</w:t>
            </w:r>
          </w:p>
        </w:tc>
      </w:tr>
      <w:tr w:rsidR="006760EA" w:rsidRPr="003718E9" w:rsidTr="00DC5D7B">
        <w:trPr>
          <w:trHeight w:val="405"/>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0</w:t>
            </w:r>
          </w:p>
        </w:tc>
        <w:tc>
          <w:tcPr>
            <w:tcW w:w="2340" w:type="dxa"/>
            <w:tcBorders>
              <w:top w:val="single" w:sz="4" w:space="0" w:color="auto"/>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 xml:space="preserve">Τακτικά </w:t>
            </w:r>
            <w:proofErr w:type="spellStart"/>
            <w:r w:rsidRPr="003718E9">
              <w:rPr>
                <w:sz w:val="18"/>
                <w:szCs w:val="18"/>
                <w:lang w:bidi="he-IL"/>
              </w:rPr>
              <w:t>Εσοδα</w:t>
            </w:r>
            <w:proofErr w:type="spellEnd"/>
          </w:p>
        </w:tc>
        <w:tc>
          <w:tcPr>
            <w:tcW w:w="1320" w:type="dxa"/>
            <w:tcBorders>
              <w:top w:val="single" w:sz="4" w:space="0" w:color="auto"/>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6.987.873,65</w:t>
            </w:r>
          </w:p>
        </w:tc>
        <w:tc>
          <w:tcPr>
            <w:tcW w:w="1300" w:type="dxa"/>
            <w:tcBorders>
              <w:top w:val="single" w:sz="4" w:space="0" w:color="auto"/>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8.088.016,55</w:t>
            </w:r>
          </w:p>
        </w:tc>
        <w:tc>
          <w:tcPr>
            <w:tcW w:w="1100" w:type="dxa"/>
            <w:tcBorders>
              <w:top w:val="single" w:sz="4" w:space="0" w:color="auto"/>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1.100.142,90</w:t>
            </w:r>
          </w:p>
        </w:tc>
        <w:tc>
          <w:tcPr>
            <w:tcW w:w="960" w:type="dxa"/>
            <w:tcBorders>
              <w:top w:val="single" w:sz="4" w:space="0" w:color="auto"/>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15,74%</w:t>
            </w:r>
          </w:p>
        </w:tc>
      </w:tr>
      <w:tr w:rsidR="006760EA" w:rsidRPr="003718E9" w:rsidTr="00DC5D7B">
        <w:trPr>
          <w:trHeight w:val="330"/>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1</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proofErr w:type="spellStart"/>
            <w:r w:rsidRPr="003718E9">
              <w:rPr>
                <w:sz w:val="18"/>
                <w:szCs w:val="18"/>
                <w:lang w:bidi="he-IL"/>
              </w:rPr>
              <w:t>Εκτακτα</w:t>
            </w:r>
            <w:proofErr w:type="spellEnd"/>
            <w:r w:rsidRPr="003718E9">
              <w:rPr>
                <w:sz w:val="18"/>
                <w:szCs w:val="18"/>
                <w:lang w:bidi="he-IL"/>
              </w:rPr>
              <w:t xml:space="preserve"> </w:t>
            </w:r>
            <w:proofErr w:type="spellStart"/>
            <w:r w:rsidRPr="003718E9">
              <w:rPr>
                <w:sz w:val="18"/>
                <w:szCs w:val="18"/>
                <w:lang w:bidi="he-IL"/>
              </w:rPr>
              <w:t>Εσοδα</w:t>
            </w:r>
            <w:proofErr w:type="spellEnd"/>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3.357.476,56</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3.314.982,68</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-42.493,88</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-1,27%</w:t>
            </w:r>
          </w:p>
        </w:tc>
      </w:tr>
      <w:tr w:rsidR="006760EA" w:rsidRPr="003718E9" w:rsidTr="00DC5D7B">
        <w:trPr>
          <w:trHeight w:val="375"/>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2</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proofErr w:type="spellStart"/>
            <w:r w:rsidRPr="003718E9">
              <w:rPr>
                <w:sz w:val="18"/>
                <w:szCs w:val="18"/>
                <w:lang w:bidi="he-IL"/>
              </w:rPr>
              <w:t>Εσοδα</w:t>
            </w:r>
            <w:proofErr w:type="spellEnd"/>
            <w:r w:rsidRPr="003718E9">
              <w:rPr>
                <w:sz w:val="18"/>
                <w:szCs w:val="18"/>
                <w:lang w:bidi="he-IL"/>
              </w:rPr>
              <w:t xml:space="preserve"> Π.Ο.Ε.</w:t>
            </w:r>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694.647,58</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946.269,63</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251.622,05</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36,22%</w:t>
            </w:r>
          </w:p>
        </w:tc>
      </w:tr>
      <w:tr w:rsidR="006760EA" w:rsidRPr="003718E9" w:rsidTr="00DC5D7B">
        <w:trPr>
          <w:trHeight w:val="345"/>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31</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Δάνεια</w:t>
            </w:r>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973.680,97</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479.607,89</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-494.073,08</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-50,74%</w:t>
            </w:r>
          </w:p>
        </w:tc>
      </w:tr>
      <w:tr w:rsidR="006760EA" w:rsidRPr="003718E9" w:rsidTr="00DC5D7B">
        <w:trPr>
          <w:trHeight w:val="420"/>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32</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Εισπρακτέα Υπόλοιπα</w:t>
            </w:r>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399.853,68</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303.664,55</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-96.189,13</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-24,06%</w:t>
            </w:r>
          </w:p>
        </w:tc>
      </w:tr>
      <w:tr w:rsidR="006760EA" w:rsidRPr="003718E9" w:rsidTr="00DC5D7B">
        <w:trPr>
          <w:trHeight w:val="360"/>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4</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Εισπράξεις υπέρ τρίτων</w:t>
            </w:r>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2.573.095,04</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2.531.038,64</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-42.056,40</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-1,63%</w:t>
            </w:r>
          </w:p>
        </w:tc>
      </w:tr>
      <w:tr w:rsidR="006760EA" w:rsidRPr="003718E9" w:rsidTr="00DC5D7B">
        <w:trPr>
          <w:trHeight w:val="315"/>
          <w:jc w:val="center"/>
        </w:trPr>
        <w:tc>
          <w:tcPr>
            <w:tcW w:w="640"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5</w:t>
            </w:r>
          </w:p>
        </w:tc>
        <w:tc>
          <w:tcPr>
            <w:tcW w:w="2340"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proofErr w:type="spellStart"/>
            <w:r w:rsidRPr="003718E9">
              <w:rPr>
                <w:sz w:val="18"/>
                <w:szCs w:val="18"/>
                <w:lang w:bidi="he-IL"/>
              </w:rPr>
              <w:t>Χρημ</w:t>
            </w:r>
            <w:proofErr w:type="spellEnd"/>
            <w:r w:rsidRPr="003718E9">
              <w:rPr>
                <w:sz w:val="18"/>
                <w:szCs w:val="18"/>
                <w:lang w:bidi="he-IL"/>
              </w:rPr>
              <w:t>. Υπόλοιπο</w:t>
            </w:r>
          </w:p>
        </w:tc>
        <w:tc>
          <w:tcPr>
            <w:tcW w:w="132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5.693.529,35</w:t>
            </w:r>
          </w:p>
        </w:tc>
        <w:tc>
          <w:tcPr>
            <w:tcW w:w="13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6.507.379,59</w:t>
            </w:r>
          </w:p>
        </w:tc>
        <w:tc>
          <w:tcPr>
            <w:tcW w:w="110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813.850,24</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14,29%</w:t>
            </w:r>
          </w:p>
        </w:tc>
      </w:tr>
      <w:tr w:rsidR="006760EA" w:rsidRPr="003718E9" w:rsidTr="00DC5D7B">
        <w:trPr>
          <w:trHeight w:val="385"/>
          <w:jc w:val="center"/>
        </w:trPr>
        <w:tc>
          <w:tcPr>
            <w:tcW w:w="640" w:type="dxa"/>
            <w:tcBorders>
              <w:top w:val="nil"/>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sz w:val="18"/>
                <w:szCs w:val="18"/>
                <w:lang w:bidi="he-IL"/>
              </w:rPr>
            </w:pPr>
            <w:r w:rsidRPr="003718E9">
              <w:rPr>
                <w:sz w:val="18"/>
                <w:szCs w:val="18"/>
                <w:lang w:bidi="he-IL"/>
              </w:rPr>
              <w:t> </w:t>
            </w:r>
          </w:p>
        </w:tc>
        <w:tc>
          <w:tcPr>
            <w:tcW w:w="2340"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Σύνολα</w:t>
            </w:r>
          </w:p>
        </w:tc>
        <w:tc>
          <w:tcPr>
            <w:tcW w:w="1320"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20.680.156,83</w:t>
            </w:r>
          </w:p>
        </w:tc>
        <w:tc>
          <w:tcPr>
            <w:tcW w:w="1300"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22.170.959,53</w:t>
            </w:r>
          </w:p>
        </w:tc>
        <w:tc>
          <w:tcPr>
            <w:tcW w:w="1100"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1.490.802,70</w:t>
            </w:r>
          </w:p>
        </w:tc>
        <w:tc>
          <w:tcPr>
            <w:tcW w:w="960" w:type="dxa"/>
            <w:tcBorders>
              <w:top w:val="nil"/>
              <w:left w:val="nil"/>
              <w:bottom w:val="single" w:sz="4" w:space="0" w:color="auto"/>
              <w:right w:val="single" w:sz="4" w:space="0" w:color="auto"/>
            </w:tcBorders>
            <w:shd w:val="clear" w:color="000000" w:fill="D9D9D9"/>
            <w:vAlign w:val="center"/>
            <w:hideMark/>
          </w:tcPr>
          <w:p w:rsidR="006760EA" w:rsidRPr="003718E9" w:rsidRDefault="006760EA" w:rsidP="00DC5D7B">
            <w:pPr>
              <w:jc w:val="right"/>
              <w:rPr>
                <w:b/>
                <w:bCs/>
                <w:sz w:val="18"/>
                <w:szCs w:val="18"/>
                <w:lang w:bidi="he-IL"/>
              </w:rPr>
            </w:pPr>
            <w:r w:rsidRPr="003718E9">
              <w:rPr>
                <w:b/>
                <w:bCs/>
                <w:sz w:val="18"/>
                <w:szCs w:val="18"/>
                <w:lang w:bidi="he-IL"/>
              </w:rPr>
              <w:t>7,21%</w:t>
            </w:r>
          </w:p>
        </w:tc>
      </w:tr>
    </w:tbl>
    <w:p w:rsidR="006760EA" w:rsidRDefault="006760EA" w:rsidP="006760EA">
      <w:pPr>
        <w:pStyle w:val="a8"/>
        <w:numPr>
          <w:ilvl w:val="0"/>
          <w:numId w:val="1"/>
        </w:numPr>
      </w:pPr>
    </w:p>
    <w:p w:rsidR="006760EA" w:rsidRDefault="006760EA" w:rsidP="006760EA">
      <w:pPr>
        <w:pStyle w:val="ab"/>
        <w:numPr>
          <w:ilvl w:val="0"/>
          <w:numId w:val="1"/>
        </w:numPr>
        <w:jc w:val="center"/>
        <w:rPr>
          <w:b/>
          <w:bCs/>
          <w:i w:val="0"/>
          <w:iCs w:val="0"/>
          <w:color w:val="auto"/>
          <w:sz w:val="24"/>
          <w:szCs w:val="24"/>
        </w:rPr>
      </w:pPr>
      <w:bookmarkStart w:id="3" w:name="_Toc211508434"/>
      <w:r w:rsidRPr="00D74233">
        <w:rPr>
          <w:b/>
          <w:bCs/>
          <w:i w:val="0"/>
          <w:iCs w:val="0"/>
          <w:color w:val="auto"/>
          <w:sz w:val="24"/>
          <w:szCs w:val="24"/>
        </w:rPr>
        <w:t xml:space="preserve">Πίνακας </w:t>
      </w:r>
      <w:r w:rsidR="009314D8" w:rsidRPr="00D74233">
        <w:rPr>
          <w:b/>
          <w:bCs/>
          <w:i w:val="0"/>
          <w:iCs w:val="0"/>
          <w:color w:val="auto"/>
          <w:sz w:val="24"/>
          <w:szCs w:val="24"/>
        </w:rPr>
        <w:fldChar w:fldCharType="begin"/>
      </w:r>
      <w:r w:rsidRPr="00D74233">
        <w:rPr>
          <w:b/>
          <w:bCs/>
          <w:i w:val="0"/>
          <w:iCs w:val="0"/>
          <w:color w:val="auto"/>
          <w:sz w:val="24"/>
          <w:szCs w:val="24"/>
        </w:rPr>
        <w:instrText xml:space="preserve"> SEQ Πίνακας \* ARABIC </w:instrText>
      </w:r>
      <w:r w:rsidR="009314D8" w:rsidRPr="00D74233">
        <w:rPr>
          <w:b/>
          <w:bCs/>
          <w:i w:val="0"/>
          <w:iCs w:val="0"/>
          <w:color w:val="auto"/>
          <w:sz w:val="24"/>
          <w:szCs w:val="24"/>
        </w:rPr>
        <w:fldChar w:fldCharType="separate"/>
      </w:r>
      <w:r w:rsidR="002317CA">
        <w:rPr>
          <w:b/>
          <w:bCs/>
          <w:i w:val="0"/>
          <w:iCs w:val="0"/>
          <w:noProof/>
          <w:color w:val="auto"/>
          <w:sz w:val="24"/>
          <w:szCs w:val="24"/>
        </w:rPr>
        <w:t>2</w:t>
      </w:r>
      <w:r w:rsidR="009314D8" w:rsidRPr="00D74233">
        <w:rPr>
          <w:b/>
          <w:bCs/>
          <w:i w:val="0"/>
          <w:iCs w:val="0"/>
          <w:color w:val="auto"/>
          <w:sz w:val="24"/>
          <w:szCs w:val="24"/>
        </w:rPr>
        <w:fldChar w:fldCharType="end"/>
      </w:r>
      <w:r w:rsidRPr="00D74233">
        <w:rPr>
          <w:b/>
          <w:bCs/>
          <w:i w:val="0"/>
          <w:iCs w:val="0"/>
          <w:color w:val="auto"/>
          <w:sz w:val="24"/>
          <w:szCs w:val="24"/>
        </w:rPr>
        <w:t xml:space="preserve">. Σύγκριση πληρωμών </w:t>
      </w:r>
      <w:r>
        <w:rPr>
          <w:b/>
          <w:bCs/>
          <w:i w:val="0"/>
          <w:iCs w:val="0"/>
          <w:color w:val="auto"/>
          <w:sz w:val="24"/>
          <w:szCs w:val="24"/>
        </w:rPr>
        <w:t>Γ</w:t>
      </w:r>
      <w:r w:rsidRPr="00D74233">
        <w:rPr>
          <w:b/>
          <w:bCs/>
          <w:i w:val="0"/>
          <w:iCs w:val="0"/>
          <w:color w:val="auto"/>
          <w:sz w:val="24"/>
          <w:szCs w:val="24"/>
        </w:rPr>
        <w:t xml:space="preserve">’ </w:t>
      </w:r>
      <w:r>
        <w:rPr>
          <w:b/>
          <w:bCs/>
          <w:i w:val="0"/>
          <w:iCs w:val="0"/>
          <w:color w:val="auto"/>
          <w:sz w:val="24"/>
          <w:szCs w:val="24"/>
        </w:rPr>
        <w:t>3</w:t>
      </w:r>
      <w:r w:rsidRPr="00D74233">
        <w:rPr>
          <w:b/>
          <w:bCs/>
          <w:i w:val="0"/>
          <w:iCs w:val="0"/>
          <w:color w:val="auto"/>
          <w:sz w:val="24"/>
          <w:szCs w:val="24"/>
        </w:rPr>
        <w:t>μηνου 2025-2024</w:t>
      </w:r>
      <w:bookmarkEnd w:id="3"/>
    </w:p>
    <w:tbl>
      <w:tblPr>
        <w:tblW w:w="7660" w:type="dxa"/>
        <w:jc w:val="center"/>
        <w:tblLook w:val="04A0"/>
      </w:tblPr>
      <w:tblGrid>
        <w:gridCol w:w="637"/>
        <w:gridCol w:w="2287"/>
        <w:gridCol w:w="1317"/>
        <w:gridCol w:w="1298"/>
        <w:gridCol w:w="1161"/>
        <w:gridCol w:w="960"/>
      </w:tblGrid>
      <w:tr w:rsidR="006760EA" w:rsidRPr="003718E9" w:rsidTr="00DC5D7B">
        <w:trPr>
          <w:trHeight w:val="409"/>
          <w:jc w:val="center"/>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Κ.Α.</w:t>
            </w:r>
          </w:p>
        </w:tc>
        <w:tc>
          <w:tcPr>
            <w:tcW w:w="228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Περιγραφή</w:t>
            </w:r>
          </w:p>
        </w:tc>
        <w:tc>
          <w:tcPr>
            <w:tcW w:w="1317"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Πληρωμές 30/9/2024</w:t>
            </w:r>
          </w:p>
        </w:tc>
        <w:tc>
          <w:tcPr>
            <w:tcW w:w="1298"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Πληρωμές 30/9/2025</w:t>
            </w:r>
          </w:p>
        </w:tc>
        <w:tc>
          <w:tcPr>
            <w:tcW w:w="1161"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Διαφορά</w:t>
            </w:r>
          </w:p>
        </w:tc>
        <w:tc>
          <w:tcPr>
            <w:tcW w:w="960" w:type="dxa"/>
            <w:tcBorders>
              <w:top w:val="single" w:sz="4" w:space="0" w:color="auto"/>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 xml:space="preserve">Μεταβ. % </w:t>
            </w:r>
          </w:p>
        </w:tc>
      </w:tr>
      <w:tr w:rsidR="006760EA" w:rsidRPr="003718E9" w:rsidTr="00DC5D7B">
        <w:trPr>
          <w:trHeight w:val="245"/>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6760EA" w:rsidRPr="003718E9" w:rsidRDefault="006760EA" w:rsidP="00DC5D7B">
            <w:pPr>
              <w:rPr>
                <w:b/>
                <w:bCs/>
                <w:sz w:val="18"/>
                <w:szCs w:val="18"/>
                <w:lang w:bidi="he-IL"/>
              </w:rPr>
            </w:pPr>
          </w:p>
        </w:tc>
        <w:tc>
          <w:tcPr>
            <w:tcW w:w="2287" w:type="dxa"/>
            <w:vMerge/>
            <w:tcBorders>
              <w:top w:val="single" w:sz="4" w:space="0" w:color="auto"/>
              <w:left w:val="single" w:sz="4" w:space="0" w:color="auto"/>
              <w:bottom w:val="single" w:sz="4" w:space="0" w:color="auto"/>
              <w:right w:val="single" w:sz="4" w:space="0" w:color="auto"/>
            </w:tcBorders>
            <w:vAlign w:val="center"/>
            <w:hideMark/>
          </w:tcPr>
          <w:p w:rsidR="006760EA" w:rsidRPr="003718E9" w:rsidRDefault="006760EA" w:rsidP="00DC5D7B">
            <w:pPr>
              <w:rPr>
                <w:b/>
                <w:bCs/>
                <w:sz w:val="18"/>
                <w:szCs w:val="18"/>
                <w:lang w:bidi="he-IL"/>
              </w:rPr>
            </w:pPr>
          </w:p>
        </w:tc>
        <w:tc>
          <w:tcPr>
            <w:tcW w:w="1317"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(1)</w:t>
            </w:r>
          </w:p>
        </w:tc>
        <w:tc>
          <w:tcPr>
            <w:tcW w:w="1298"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w:t>
            </w:r>
          </w:p>
        </w:tc>
        <w:tc>
          <w:tcPr>
            <w:tcW w:w="1161"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 - (1)</w:t>
            </w:r>
          </w:p>
        </w:tc>
        <w:tc>
          <w:tcPr>
            <w:tcW w:w="960"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2/1</w:t>
            </w:r>
          </w:p>
        </w:tc>
      </w:tr>
      <w:tr w:rsidR="006760EA" w:rsidRPr="003718E9" w:rsidTr="00DC5D7B">
        <w:trPr>
          <w:trHeight w:val="405"/>
          <w:jc w:val="center"/>
        </w:trPr>
        <w:tc>
          <w:tcPr>
            <w:tcW w:w="637"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6.</w:t>
            </w:r>
          </w:p>
        </w:tc>
        <w:tc>
          <w:tcPr>
            <w:tcW w:w="2287"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proofErr w:type="spellStart"/>
            <w:r w:rsidRPr="003718E9">
              <w:rPr>
                <w:sz w:val="18"/>
                <w:szCs w:val="18"/>
                <w:lang w:bidi="he-IL"/>
              </w:rPr>
              <w:t>Εξοδα</w:t>
            </w:r>
            <w:proofErr w:type="spellEnd"/>
            <w:r w:rsidRPr="003718E9">
              <w:rPr>
                <w:sz w:val="18"/>
                <w:szCs w:val="18"/>
                <w:lang w:bidi="he-IL"/>
              </w:rPr>
              <w:t xml:space="preserve"> χρήσης</w:t>
            </w:r>
          </w:p>
        </w:tc>
        <w:tc>
          <w:tcPr>
            <w:tcW w:w="1317"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8.077.986,47</w:t>
            </w:r>
          </w:p>
        </w:tc>
        <w:tc>
          <w:tcPr>
            <w:tcW w:w="1298"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9.166.083,04</w:t>
            </w:r>
          </w:p>
        </w:tc>
        <w:tc>
          <w:tcPr>
            <w:tcW w:w="1161"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1.088.096,57</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6"/>
                <w:szCs w:val="16"/>
                <w:lang w:bidi="he-IL"/>
              </w:rPr>
            </w:pPr>
            <w:r w:rsidRPr="003718E9">
              <w:rPr>
                <w:sz w:val="16"/>
                <w:szCs w:val="16"/>
                <w:lang w:bidi="he-IL"/>
              </w:rPr>
              <w:t>13,47%</w:t>
            </w:r>
          </w:p>
        </w:tc>
      </w:tr>
      <w:tr w:rsidR="006760EA" w:rsidRPr="003718E9" w:rsidTr="00DC5D7B">
        <w:trPr>
          <w:trHeight w:val="375"/>
          <w:jc w:val="center"/>
        </w:trPr>
        <w:tc>
          <w:tcPr>
            <w:tcW w:w="637"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7.</w:t>
            </w:r>
          </w:p>
        </w:tc>
        <w:tc>
          <w:tcPr>
            <w:tcW w:w="2287"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Επενδύσεις</w:t>
            </w:r>
          </w:p>
        </w:tc>
        <w:tc>
          <w:tcPr>
            <w:tcW w:w="1317"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2.615.525,70</w:t>
            </w:r>
          </w:p>
        </w:tc>
        <w:tc>
          <w:tcPr>
            <w:tcW w:w="1298"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2.730.930,83</w:t>
            </w:r>
          </w:p>
        </w:tc>
        <w:tc>
          <w:tcPr>
            <w:tcW w:w="1161"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115.405,13</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6"/>
                <w:szCs w:val="16"/>
                <w:lang w:bidi="he-IL"/>
              </w:rPr>
            </w:pPr>
            <w:r w:rsidRPr="003718E9">
              <w:rPr>
                <w:sz w:val="16"/>
                <w:szCs w:val="16"/>
                <w:lang w:bidi="he-IL"/>
              </w:rPr>
              <w:t>4,41%</w:t>
            </w:r>
          </w:p>
        </w:tc>
      </w:tr>
      <w:tr w:rsidR="006760EA" w:rsidRPr="003718E9" w:rsidTr="00DC5D7B">
        <w:trPr>
          <w:trHeight w:val="410"/>
          <w:jc w:val="center"/>
        </w:trPr>
        <w:tc>
          <w:tcPr>
            <w:tcW w:w="637"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81</w:t>
            </w:r>
          </w:p>
        </w:tc>
        <w:tc>
          <w:tcPr>
            <w:tcW w:w="2287"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 xml:space="preserve">Πληρωμές ΠΟΕ - </w:t>
            </w:r>
          </w:p>
        </w:tc>
        <w:tc>
          <w:tcPr>
            <w:tcW w:w="1317"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2.051.959,00</w:t>
            </w:r>
          </w:p>
        </w:tc>
        <w:tc>
          <w:tcPr>
            <w:tcW w:w="1298"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2.567.342,95</w:t>
            </w:r>
          </w:p>
        </w:tc>
        <w:tc>
          <w:tcPr>
            <w:tcW w:w="1161"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515.383,95</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6"/>
                <w:szCs w:val="16"/>
                <w:lang w:bidi="he-IL"/>
              </w:rPr>
            </w:pPr>
            <w:r w:rsidRPr="003718E9">
              <w:rPr>
                <w:sz w:val="16"/>
                <w:szCs w:val="16"/>
                <w:lang w:bidi="he-IL"/>
              </w:rPr>
              <w:t>25,12%</w:t>
            </w:r>
          </w:p>
        </w:tc>
      </w:tr>
      <w:tr w:rsidR="006760EA" w:rsidRPr="003718E9" w:rsidTr="00DC5D7B">
        <w:trPr>
          <w:trHeight w:val="510"/>
          <w:jc w:val="center"/>
        </w:trPr>
        <w:tc>
          <w:tcPr>
            <w:tcW w:w="637"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82</w:t>
            </w:r>
          </w:p>
        </w:tc>
        <w:tc>
          <w:tcPr>
            <w:tcW w:w="2287"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Αποδόσεις υπέρ Δημοσίου &amp; τρίτων</w:t>
            </w:r>
          </w:p>
        </w:tc>
        <w:tc>
          <w:tcPr>
            <w:tcW w:w="1317"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2.474.112,94</w:t>
            </w:r>
          </w:p>
        </w:tc>
        <w:tc>
          <w:tcPr>
            <w:tcW w:w="1298"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2.602.388,04</w:t>
            </w:r>
          </w:p>
        </w:tc>
        <w:tc>
          <w:tcPr>
            <w:tcW w:w="1161"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128.275,10</w:t>
            </w:r>
          </w:p>
        </w:tc>
        <w:tc>
          <w:tcPr>
            <w:tcW w:w="960"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6"/>
                <w:szCs w:val="16"/>
                <w:lang w:bidi="he-IL"/>
              </w:rPr>
            </w:pPr>
            <w:r w:rsidRPr="003718E9">
              <w:rPr>
                <w:sz w:val="16"/>
                <w:szCs w:val="16"/>
                <w:lang w:bidi="he-IL"/>
              </w:rPr>
              <w:t>5,18%</w:t>
            </w:r>
          </w:p>
        </w:tc>
      </w:tr>
      <w:tr w:rsidR="006760EA" w:rsidRPr="003718E9" w:rsidTr="00DC5D7B">
        <w:trPr>
          <w:trHeight w:val="345"/>
          <w:jc w:val="center"/>
        </w:trPr>
        <w:tc>
          <w:tcPr>
            <w:tcW w:w="637" w:type="dxa"/>
            <w:tcBorders>
              <w:top w:val="nil"/>
              <w:left w:val="single" w:sz="4" w:space="0" w:color="auto"/>
              <w:bottom w:val="single" w:sz="4" w:space="0" w:color="auto"/>
              <w:right w:val="single" w:sz="4" w:space="0" w:color="auto"/>
            </w:tcBorders>
            <w:vAlign w:val="center"/>
            <w:hideMark/>
          </w:tcPr>
          <w:p w:rsidR="006760EA" w:rsidRPr="003718E9" w:rsidRDefault="006760EA" w:rsidP="00DC5D7B">
            <w:pPr>
              <w:jc w:val="center"/>
              <w:rPr>
                <w:sz w:val="18"/>
                <w:szCs w:val="18"/>
                <w:lang w:bidi="he-IL"/>
              </w:rPr>
            </w:pPr>
            <w:r w:rsidRPr="003718E9">
              <w:rPr>
                <w:sz w:val="18"/>
                <w:szCs w:val="18"/>
                <w:lang w:bidi="he-IL"/>
              </w:rPr>
              <w:t>9.</w:t>
            </w:r>
          </w:p>
        </w:tc>
        <w:tc>
          <w:tcPr>
            <w:tcW w:w="2287" w:type="dxa"/>
            <w:tcBorders>
              <w:top w:val="nil"/>
              <w:left w:val="nil"/>
              <w:bottom w:val="single" w:sz="4" w:space="0" w:color="auto"/>
              <w:right w:val="single" w:sz="4" w:space="0" w:color="auto"/>
            </w:tcBorders>
            <w:vAlign w:val="center"/>
            <w:hideMark/>
          </w:tcPr>
          <w:p w:rsidR="006760EA" w:rsidRPr="003718E9" w:rsidRDefault="006760EA" w:rsidP="00DC5D7B">
            <w:pPr>
              <w:rPr>
                <w:sz w:val="18"/>
                <w:szCs w:val="18"/>
                <w:lang w:bidi="he-IL"/>
              </w:rPr>
            </w:pPr>
            <w:r w:rsidRPr="003718E9">
              <w:rPr>
                <w:sz w:val="18"/>
                <w:szCs w:val="18"/>
                <w:lang w:bidi="he-IL"/>
              </w:rPr>
              <w:t>Αποθεματικό</w:t>
            </w:r>
          </w:p>
        </w:tc>
        <w:tc>
          <w:tcPr>
            <w:tcW w:w="1317"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0</w:t>
            </w:r>
          </w:p>
        </w:tc>
        <w:tc>
          <w:tcPr>
            <w:tcW w:w="1298"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0</w:t>
            </w:r>
          </w:p>
        </w:tc>
        <w:tc>
          <w:tcPr>
            <w:tcW w:w="1161" w:type="dxa"/>
            <w:tcBorders>
              <w:top w:val="nil"/>
              <w:left w:val="nil"/>
              <w:bottom w:val="single" w:sz="4" w:space="0" w:color="auto"/>
              <w:right w:val="single" w:sz="4" w:space="0" w:color="auto"/>
            </w:tcBorders>
            <w:vAlign w:val="center"/>
            <w:hideMark/>
          </w:tcPr>
          <w:p w:rsidR="006760EA" w:rsidRPr="003718E9" w:rsidRDefault="006760EA" w:rsidP="00DC5D7B">
            <w:pPr>
              <w:jc w:val="right"/>
              <w:rPr>
                <w:sz w:val="18"/>
                <w:szCs w:val="18"/>
                <w:lang w:bidi="he-IL"/>
              </w:rPr>
            </w:pPr>
            <w:r w:rsidRPr="003718E9">
              <w:rPr>
                <w:sz w:val="18"/>
                <w:szCs w:val="18"/>
                <w:lang w:bidi="he-IL"/>
              </w:rPr>
              <w:t>0</w:t>
            </w:r>
          </w:p>
        </w:tc>
        <w:tc>
          <w:tcPr>
            <w:tcW w:w="960" w:type="dxa"/>
            <w:tcBorders>
              <w:top w:val="nil"/>
              <w:left w:val="nil"/>
              <w:bottom w:val="single" w:sz="4" w:space="0" w:color="auto"/>
              <w:right w:val="single" w:sz="4" w:space="0" w:color="auto"/>
            </w:tcBorders>
            <w:noWrap/>
            <w:vAlign w:val="center"/>
            <w:hideMark/>
          </w:tcPr>
          <w:p w:rsidR="006760EA" w:rsidRPr="003718E9" w:rsidRDefault="006760EA" w:rsidP="00DC5D7B">
            <w:pPr>
              <w:rPr>
                <w:color w:val="000000"/>
                <w:sz w:val="18"/>
                <w:szCs w:val="18"/>
                <w:lang w:bidi="he-IL"/>
              </w:rPr>
            </w:pPr>
            <w:r w:rsidRPr="003718E9">
              <w:rPr>
                <w:color w:val="000000"/>
                <w:sz w:val="18"/>
                <w:szCs w:val="18"/>
                <w:lang w:bidi="he-IL"/>
              </w:rPr>
              <w:t> </w:t>
            </w:r>
          </w:p>
        </w:tc>
      </w:tr>
      <w:tr w:rsidR="006760EA" w:rsidRPr="003718E9" w:rsidTr="00DC5D7B">
        <w:trPr>
          <w:trHeight w:val="420"/>
          <w:jc w:val="center"/>
        </w:trPr>
        <w:tc>
          <w:tcPr>
            <w:tcW w:w="637" w:type="dxa"/>
            <w:tcBorders>
              <w:top w:val="nil"/>
              <w:left w:val="single" w:sz="4" w:space="0" w:color="auto"/>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 </w:t>
            </w:r>
          </w:p>
        </w:tc>
        <w:tc>
          <w:tcPr>
            <w:tcW w:w="2287"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center"/>
              <w:rPr>
                <w:b/>
                <w:bCs/>
                <w:sz w:val="18"/>
                <w:szCs w:val="18"/>
                <w:lang w:bidi="he-IL"/>
              </w:rPr>
            </w:pPr>
            <w:r w:rsidRPr="003718E9">
              <w:rPr>
                <w:b/>
                <w:bCs/>
                <w:sz w:val="18"/>
                <w:szCs w:val="18"/>
                <w:lang w:bidi="he-IL"/>
              </w:rPr>
              <w:t>Σύνολα</w:t>
            </w:r>
          </w:p>
        </w:tc>
        <w:tc>
          <w:tcPr>
            <w:tcW w:w="1317"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15.219.584,11</w:t>
            </w:r>
          </w:p>
        </w:tc>
        <w:tc>
          <w:tcPr>
            <w:tcW w:w="1298"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17.066.744,86</w:t>
            </w:r>
          </w:p>
        </w:tc>
        <w:tc>
          <w:tcPr>
            <w:tcW w:w="1161" w:type="dxa"/>
            <w:tcBorders>
              <w:top w:val="nil"/>
              <w:left w:val="nil"/>
              <w:bottom w:val="single" w:sz="4" w:space="0" w:color="auto"/>
              <w:right w:val="single" w:sz="4" w:space="0" w:color="auto"/>
            </w:tcBorders>
            <w:shd w:val="clear" w:color="000000" w:fill="D8D8D8"/>
            <w:vAlign w:val="center"/>
            <w:hideMark/>
          </w:tcPr>
          <w:p w:rsidR="006760EA" w:rsidRPr="003718E9" w:rsidRDefault="006760EA" w:rsidP="00DC5D7B">
            <w:pPr>
              <w:jc w:val="right"/>
              <w:rPr>
                <w:b/>
                <w:bCs/>
                <w:sz w:val="18"/>
                <w:szCs w:val="18"/>
                <w:lang w:bidi="he-IL"/>
              </w:rPr>
            </w:pPr>
            <w:r w:rsidRPr="003718E9">
              <w:rPr>
                <w:b/>
                <w:bCs/>
                <w:sz w:val="18"/>
                <w:szCs w:val="18"/>
                <w:lang w:bidi="he-IL"/>
              </w:rPr>
              <w:t>1.847.160,75</w:t>
            </w:r>
          </w:p>
        </w:tc>
        <w:tc>
          <w:tcPr>
            <w:tcW w:w="960" w:type="dxa"/>
            <w:tcBorders>
              <w:top w:val="nil"/>
              <w:left w:val="nil"/>
              <w:bottom w:val="single" w:sz="4" w:space="0" w:color="auto"/>
              <w:right w:val="single" w:sz="4" w:space="0" w:color="auto"/>
            </w:tcBorders>
            <w:shd w:val="clear" w:color="000000" w:fill="D9D9D9"/>
            <w:vAlign w:val="center"/>
            <w:hideMark/>
          </w:tcPr>
          <w:p w:rsidR="006760EA" w:rsidRPr="003718E9" w:rsidRDefault="006760EA" w:rsidP="00DC5D7B">
            <w:pPr>
              <w:jc w:val="right"/>
              <w:rPr>
                <w:b/>
                <w:bCs/>
                <w:sz w:val="16"/>
                <w:szCs w:val="16"/>
                <w:lang w:bidi="he-IL"/>
              </w:rPr>
            </w:pPr>
            <w:r w:rsidRPr="003718E9">
              <w:rPr>
                <w:b/>
                <w:bCs/>
                <w:sz w:val="16"/>
                <w:szCs w:val="16"/>
                <w:lang w:bidi="he-IL"/>
              </w:rPr>
              <w:t>12,14%</w:t>
            </w:r>
          </w:p>
        </w:tc>
      </w:tr>
    </w:tbl>
    <w:p w:rsidR="006760EA" w:rsidRPr="002B3173" w:rsidRDefault="006760EA" w:rsidP="006760EA">
      <w:pPr>
        <w:pStyle w:val="a8"/>
        <w:numPr>
          <w:ilvl w:val="0"/>
          <w:numId w:val="7"/>
        </w:numPr>
        <w:spacing w:before="240" w:after="120" w:line="360" w:lineRule="auto"/>
        <w:jc w:val="both"/>
        <w:rPr>
          <w:b/>
          <w:sz w:val="24"/>
          <w:szCs w:val="24"/>
          <w:u w:val="single"/>
        </w:rPr>
      </w:pPr>
      <w:r w:rsidRPr="002B3173">
        <w:rPr>
          <w:b/>
          <w:sz w:val="24"/>
          <w:szCs w:val="24"/>
          <w:u w:val="single"/>
        </w:rPr>
        <w:t>Εκτέλεση προϋπολογισμού εσόδων πιο αναλυτικά</w:t>
      </w:r>
    </w:p>
    <w:p w:rsidR="006760EA" w:rsidRPr="00EB01D6" w:rsidRDefault="006760EA" w:rsidP="006760EA">
      <w:pPr>
        <w:spacing w:before="24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Μέχρι 30/9/2025 β</w:t>
      </w:r>
      <w:r w:rsidRPr="00EB01D6">
        <w:rPr>
          <w:rFonts w:asciiTheme="minorHAnsi" w:hAnsiTheme="minorHAnsi" w:cstheme="minorHAnsi"/>
          <w:bCs/>
          <w:iCs/>
          <w:sz w:val="24"/>
          <w:szCs w:val="24"/>
        </w:rPr>
        <w:t xml:space="preserve">εβαιώθηκαν έσοδα </w:t>
      </w:r>
      <w:r w:rsidRPr="00EB01D6">
        <w:rPr>
          <w:rFonts w:asciiTheme="minorHAnsi" w:hAnsiTheme="minorHAnsi" w:cstheme="minorHAnsi"/>
          <w:b/>
          <w:bCs/>
          <w:sz w:val="24"/>
          <w:szCs w:val="24"/>
          <w:u w:val="single"/>
          <w:lang w:bidi="he-IL"/>
        </w:rPr>
        <w:t>27.109.344,68€</w:t>
      </w:r>
      <w:r w:rsidRPr="00EB01D6">
        <w:rPr>
          <w:rFonts w:asciiTheme="minorHAnsi" w:hAnsiTheme="minorHAnsi" w:cstheme="minorHAnsi"/>
          <w:bCs/>
          <w:iCs/>
          <w:sz w:val="24"/>
          <w:szCs w:val="24"/>
        </w:rPr>
        <w:t xml:space="preserve"> και εισπράχθηκαν </w:t>
      </w:r>
      <w:r w:rsidRPr="00EB01D6">
        <w:rPr>
          <w:rFonts w:asciiTheme="minorHAnsi" w:hAnsiTheme="minorHAnsi" w:cstheme="minorHAnsi"/>
          <w:b/>
          <w:bCs/>
          <w:iCs/>
          <w:sz w:val="24"/>
          <w:szCs w:val="24"/>
          <w:u w:val="single"/>
        </w:rPr>
        <w:t>22.170.959,53€</w:t>
      </w:r>
      <w:r w:rsidRPr="00EB01D6">
        <w:rPr>
          <w:rFonts w:asciiTheme="minorHAnsi" w:hAnsiTheme="minorHAnsi" w:cstheme="minorHAnsi"/>
          <w:bCs/>
          <w:iCs/>
          <w:sz w:val="24"/>
          <w:szCs w:val="24"/>
        </w:rPr>
        <w:t xml:space="preserve">, </w:t>
      </w:r>
      <w:r w:rsidRPr="00EB01D6">
        <w:rPr>
          <w:rFonts w:asciiTheme="minorHAnsi" w:hAnsiTheme="minorHAnsi" w:cstheme="minorHAnsi"/>
          <w:sz w:val="24"/>
          <w:szCs w:val="24"/>
        </w:rPr>
        <w:t xml:space="preserve">ήτοι το 66,84% και το 54,66% των </w:t>
      </w:r>
      <w:proofErr w:type="spellStart"/>
      <w:r w:rsidRPr="00EB01D6">
        <w:rPr>
          <w:rFonts w:asciiTheme="minorHAnsi" w:hAnsiTheme="minorHAnsi" w:cstheme="minorHAnsi"/>
          <w:sz w:val="24"/>
          <w:szCs w:val="24"/>
        </w:rPr>
        <w:t>προυπολογισθέντων</w:t>
      </w:r>
      <w:proofErr w:type="spellEnd"/>
      <w:r w:rsidRPr="00EB01D6">
        <w:rPr>
          <w:rFonts w:asciiTheme="minorHAnsi" w:hAnsiTheme="minorHAnsi" w:cstheme="minorHAnsi"/>
          <w:sz w:val="24"/>
          <w:szCs w:val="24"/>
        </w:rPr>
        <w:t xml:space="preserve"> ποσών αντίστοιχα. Στις εισπράξεις περιλαμβάνεται και το χρηματικό υπόλοιπο 6.507.379,59€,  που μεταφέρθηκε από το 2024 και επομένως οι καθαρές εισπράξεις του 2025 ήταν 15.663.579,94€. Από τα βεβαιωθέντα έσοδα μέχρι 30/9/2025  εισπράχθηκε το 81,78%.</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 xml:space="preserve">Περαιτέρω αναλύοντας τα έσοδα του 2025 βλέπουμε ότι οι εισπράξεις από τακτικά και έκτακτα έσοδα του </w:t>
      </w:r>
      <w:r w:rsidRPr="00EB01D6">
        <w:rPr>
          <w:rFonts w:asciiTheme="minorHAnsi" w:hAnsiTheme="minorHAnsi" w:cstheme="minorHAnsi"/>
          <w:sz w:val="24"/>
          <w:szCs w:val="24"/>
          <w:u w:val="single"/>
        </w:rPr>
        <w:t>έτους</w:t>
      </w:r>
      <w:r w:rsidRPr="00EB01D6">
        <w:rPr>
          <w:rFonts w:asciiTheme="minorHAnsi" w:hAnsiTheme="minorHAnsi" w:cstheme="minorHAnsi"/>
          <w:sz w:val="24"/>
          <w:szCs w:val="24"/>
        </w:rPr>
        <w:t xml:space="preserve"> ανήλθαν στο 69,33% και 32,49%  των αντίστοιχα </w:t>
      </w:r>
      <w:proofErr w:type="spellStart"/>
      <w:r w:rsidRPr="00EB01D6">
        <w:rPr>
          <w:rFonts w:asciiTheme="minorHAnsi" w:hAnsiTheme="minorHAnsi" w:cstheme="minorHAnsi"/>
          <w:sz w:val="24"/>
          <w:szCs w:val="24"/>
        </w:rPr>
        <w:t>προυπολογισθέντων</w:t>
      </w:r>
      <w:proofErr w:type="spellEnd"/>
      <w:r w:rsidRPr="00EB01D6">
        <w:rPr>
          <w:rFonts w:asciiTheme="minorHAnsi" w:hAnsiTheme="minorHAnsi" w:cstheme="minorHAnsi"/>
          <w:sz w:val="24"/>
          <w:szCs w:val="24"/>
        </w:rPr>
        <w:t xml:space="preserve"> ποσών. Οι επιχορηγήσεις για επενδύσεις ανήλθαν στο 30,02% και οι εισπράξεις από απαιτήσεις Π.Ο.Ε. στο 6,13% των </w:t>
      </w:r>
      <w:proofErr w:type="spellStart"/>
      <w:r w:rsidRPr="00EB01D6">
        <w:rPr>
          <w:rFonts w:asciiTheme="minorHAnsi" w:hAnsiTheme="minorHAnsi" w:cstheme="minorHAnsi"/>
          <w:sz w:val="24"/>
          <w:szCs w:val="24"/>
        </w:rPr>
        <w:t>προυπολογισθέντων</w:t>
      </w:r>
      <w:proofErr w:type="spellEnd"/>
      <w:r w:rsidRPr="00EB01D6">
        <w:rPr>
          <w:rFonts w:asciiTheme="minorHAnsi" w:hAnsiTheme="minorHAnsi" w:cstheme="minorHAnsi"/>
          <w:sz w:val="24"/>
          <w:szCs w:val="24"/>
        </w:rPr>
        <w:t xml:space="preserve"> ποσών.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 xml:space="preserve">Από τα μέχρι τώρα αποτελέσματα εκτέλεσης του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τα αποτελέσματα του αντίστοιχου 9μηνου του 2024 και με δεδομένο ότι οι στόχοι του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w:t>
      </w:r>
      <w:r w:rsidRPr="00EB01D6">
        <w:rPr>
          <w:rFonts w:asciiTheme="minorHAnsi" w:hAnsiTheme="minorHAnsi" w:cstheme="minorHAnsi"/>
          <w:sz w:val="24"/>
          <w:szCs w:val="24"/>
        </w:rPr>
        <w:lastRenderedPageBreak/>
        <w:t xml:space="preserve">εσόδων δεν </w:t>
      </w:r>
      <w:proofErr w:type="spellStart"/>
      <w:r w:rsidRPr="00EB01D6">
        <w:rPr>
          <w:rFonts w:asciiTheme="minorHAnsi" w:hAnsiTheme="minorHAnsi" w:cstheme="minorHAnsi"/>
          <w:sz w:val="24"/>
          <w:szCs w:val="24"/>
        </w:rPr>
        <w:t>ισοκατανέμονται</w:t>
      </w:r>
      <w:proofErr w:type="spellEnd"/>
      <w:r w:rsidRPr="00EB01D6">
        <w:rPr>
          <w:rFonts w:asciiTheme="minorHAnsi" w:hAnsiTheme="minorHAnsi" w:cstheme="minorHAnsi"/>
          <w:sz w:val="24"/>
          <w:szCs w:val="24"/>
        </w:rPr>
        <w:t xml:space="preserve"> ανά μήνα ή τρίμηνο του οικονομικού έτους τα πρώτα συμπεράσματα που μπορούν να εξαχθούν είναι τα κατωτέρω:</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rPr>
        <w:t>α)</w:t>
      </w:r>
      <w:r w:rsidRPr="00EB01D6">
        <w:rPr>
          <w:rFonts w:asciiTheme="minorHAnsi" w:hAnsiTheme="minorHAnsi" w:cstheme="minorHAnsi"/>
          <w:sz w:val="24"/>
          <w:szCs w:val="24"/>
        </w:rPr>
        <w:t xml:space="preserve"> </w:t>
      </w:r>
      <w:r w:rsidRPr="00EB01D6">
        <w:rPr>
          <w:rFonts w:asciiTheme="minorHAnsi" w:hAnsiTheme="minorHAnsi" w:cstheme="minorHAnsi"/>
          <w:b/>
          <w:sz w:val="24"/>
          <w:szCs w:val="24"/>
          <w:u w:val="single"/>
        </w:rPr>
        <w:t>Τα ίδια έσοδα</w:t>
      </w:r>
      <w:r w:rsidRPr="00EB01D6">
        <w:rPr>
          <w:rFonts w:asciiTheme="minorHAnsi" w:hAnsiTheme="minorHAnsi" w:cstheme="minorHAnsi"/>
          <w:b/>
          <w:bCs/>
          <w:sz w:val="24"/>
          <w:szCs w:val="24"/>
          <w:u w:val="single"/>
        </w:rPr>
        <w:t xml:space="preserve"> του έτους</w:t>
      </w:r>
      <w:r w:rsidRPr="00EB01D6">
        <w:rPr>
          <w:rFonts w:asciiTheme="minorHAnsi" w:hAnsiTheme="minorHAnsi" w:cstheme="minorHAnsi"/>
          <w:b/>
          <w:bCs/>
          <w:sz w:val="24"/>
          <w:szCs w:val="24"/>
        </w:rPr>
        <w:t xml:space="preserve"> </w:t>
      </w:r>
      <w:r w:rsidRPr="00EB01D6">
        <w:rPr>
          <w:rFonts w:asciiTheme="minorHAnsi" w:hAnsiTheme="minorHAnsi" w:cstheme="minorHAnsi"/>
          <w:sz w:val="24"/>
          <w:szCs w:val="24"/>
        </w:rPr>
        <w:t xml:space="preserve">μέχρι 30/9/2025 ανέρχονταν στα 3.046.867€ (69,13% των </w:t>
      </w:r>
      <w:proofErr w:type="spellStart"/>
      <w:r w:rsidRPr="00EB01D6">
        <w:rPr>
          <w:rFonts w:asciiTheme="minorHAnsi" w:hAnsiTheme="minorHAnsi" w:cstheme="minorHAnsi"/>
          <w:sz w:val="24"/>
          <w:szCs w:val="24"/>
        </w:rPr>
        <w:t>προυπολογισθέντων</w:t>
      </w:r>
      <w:proofErr w:type="spellEnd"/>
      <w:r w:rsidRPr="00EB01D6">
        <w:rPr>
          <w:rFonts w:asciiTheme="minorHAnsi" w:hAnsiTheme="minorHAnsi" w:cstheme="minorHAnsi"/>
          <w:sz w:val="24"/>
          <w:szCs w:val="24"/>
        </w:rPr>
        <w:t xml:space="preserve">) και είναι αυξημένα κατά 385.586€ σε σύγκριση με το αντίστοιχο διάστημα του 2024, ήτοι κατά + 14,49%. Στην αύξηση αυτή κυρίως συνέβαλε η είσπραξη 204.841€ τελών από Α.Π.Ε. έναντι μηδενικών εισπράξεων το αντίστοιχο διάστημα του 2024. </w:t>
      </w:r>
      <w:bookmarkStart w:id="4" w:name="_Hlk85736210"/>
    </w:p>
    <w:bookmarkEnd w:id="4"/>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 xml:space="preserve">Για </w:t>
      </w:r>
      <w:r w:rsidRPr="00EB01D6">
        <w:rPr>
          <w:rFonts w:asciiTheme="minorHAnsi" w:hAnsiTheme="minorHAnsi" w:cstheme="minorHAnsi"/>
          <w:b/>
          <w:sz w:val="24"/>
          <w:szCs w:val="24"/>
          <w:u w:val="single"/>
        </w:rPr>
        <w:t>απαιτήσεις παρελθόντων ετών</w:t>
      </w:r>
      <w:r w:rsidRPr="00EB01D6">
        <w:rPr>
          <w:rFonts w:asciiTheme="minorHAnsi" w:hAnsiTheme="minorHAnsi" w:cstheme="minorHAnsi"/>
          <w:sz w:val="24"/>
          <w:szCs w:val="24"/>
        </w:rPr>
        <w:t xml:space="preserve"> (εισπρακτέα υπόλοιπα Π.Ο.Ε.) έχουν εισπραχθεί 303.664,55€, ήτοι ποσοστό 6,13%, είναι δε μειωμένες  σε σχέση με το αντίστοιχο διάστημα του 2024 κατά 96.189€ (- 24,06%). Η διαφορά οφείλεται κυρίως στις λιγότερες εισπράξεις απαιτήσεων από τέλη άρδευσης κατά 62.273€.</w:t>
      </w:r>
    </w:p>
    <w:p w:rsidR="006760EA" w:rsidRPr="00EB01D6" w:rsidRDefault="006760EA" w:rsidP="006760EA">
      <w:pPr>
        <w:spacing w:before="120" w:after="120" w:line="360" w:lineRule="auto"/>
        <w:jc w:val="both"/>
        <w:rPr>
          <w:rFonts w:asciiTheme="minorHAnsi" w:hAnsiTheme="minorHAnsi" w:cstheme="minorHAnsi"/>
          <w:sz w:val="24"/>
          <w:szCs w:val="24"/>
          <w:u w:val="single"/>
        </w:rPr>
      </w:pPr>
      <w:r w:rsidRPr="00EB01D6">
        <w:rPr>
          <w:rFonts w:asciiTheme="minorHAnsi" w:hAnsiTheme="minorHAnsi" w:cstheme="minorHAnsi"/>
          <w:b/>
          <w:sz w:val="24"/>
          <w:szCs w:val="24"/>
          <w:u w:val="single"/>
        </w:rPr>
        <w:t>Τα συνολικά ίδια έσοδα</w:t>
      </w:r>
      <w:r w:rsidRPr="00EB01D6">
        <w:rPr>
          <w:rStyle w:val="a7"/>
          <w:rFonts w:asciiTheme="minorHAnsi" w:hAnsiTheme="minorHAnsi" w:cstheme="minorHAnsi"/>
          <w:b/>
          <w:sz w:val="24"/>
          <w:szCs w:val="24"/>
          <w:u w:val="single"/>
        </w:rPr>
        <w:footnoteReference w:id="2"/>
      </w:r>
      <w:r w:rsidRPr="00EB01D6">
        <w:rPr>
          <w:rFonts w:asciiTheme="minorHAnsi" w:hAnsiTheme="minorHAnsi" w:cstheme="minorHAnsi"/>
          <w:b/>
          <w:sz w:val="24"/>
          <w:szCs w:val="24"/>
          <w:u w:val="single"/>
        </w:rPr>
        <w:t xml:space="preserve">  </w:t>
      </w:r>
      <w:r w:rsidRPr="00EB01D6">
        <w:rPr>
          <w:rFonts w:asciiTheme="minorHAnsi" w:hAnsiTheme="minorHAnsi" w:cstheme="minorHAnsi"/>
          <w:sz w:val="24"/>
          <w:szCs w:val="24"/>
          <w:u w:val="single"/>
        </w:rPr>
        <w:t>(</w:t>
      </w:r>
      <w:proofErr w:type="spellStart"/>
      <w:r w:rsidRPr="00EB01D6">
        <w:rPr>
          <w:rFonts w:asciiTheme="minorHAnsi" w:hAnsiTheme="minorHAnsi" w:cstheme="minorHAnsi"/>
          <w:sz w:val="24"/>
          <w:szCs w:val="24"/>
          <w:u w:val="single"/>
        </w:rPr>
        <w:t>Ιδια</w:t>
      </w:r>
      <w:proofErr w:type="spellEnd"/>
      <w:r w:rsidRPr="00EB01D6">
        <w:rPr>
          <w:rFonts w:asciiTheme="minorHAnsi" w:hAnsiTheme="minorHAnsi" w:cstheme="minorHAnsi"/>
          <w:sz w:val="24"/>
          <w:szCs w:val="24"/>
          <w:u w:val="single"/>
        </w:rPr>
        <w:t xml:space="preserve"> </w:t>
      </w:r>
      <w:proofErr w:type="spellStart"/>
      <w:r w:rsidRPr="00EB01D6">
        <w:rPr>
          <w:rFonts w:asciiTheme="minorHAnsi" w:hAnsiTheme="minorHAnsi" w:cstheme="minorHAnsi"/>
          <w:sz w:val="24"/>
          <w:szCs w:val="24"/>
          <w:u w:val="single"/>
        </w:rPr>
        <w:t>Εσοδα</w:t>
      </w:r>
      <w:proofErr w:type="spellEnd"/>
      <w:r w:rsidRPr="00EB01D6">
        <w:rPr>
          <w:rFonts w:asciiTheme="minorHAnsi" w:hAnsiTheme="minorHAnsi" w:cstheme="minorHAnsi"/>
          <w:sz w:val="24"/>
          <w:szCs w:val="24"/>
          <w:u w:val="single"/>
        </w:rPr>
        <w:t xml:space="preserve"> έτους + Απαιτήσεις ΠΟΕ)</w:t>
      </w:r>
      <w:r w:rsidRPr="00EB01D6">
        <w:rPr>
          <w:rFonts w:asciiTheme="minorHAnsi" w:hAnsiTheme="minorHAnsi" w:cstheme="minorHAnsi"/>
          <w:sz w:val="24"/>
          <w:szCs w:val="24"/>
        </w:rPr>
        <w:t xml:space="preserve"> ανέρχονται μέχρι 30/9/2025  σε 3.350.532€ έναντι 3.061.134€ το αντίστοιχο διάστημα του 2024, δηλαδή έχουμε </w:t>
      </w:r>
      <w:r w:rsidRPr="00EB01D6">
        <w:rPr>
          <w:rFonts w:asciiTheme="minorHAnsi" w:hAnsiTheme="minorHAnsi" w:cstheme="minorHAnsi"/>
          <w:sz w:val="24"/>
          <w:szCs w:val="24"/>
          <w:u w:val="single"/>
        </w:rPr>
        <w:t>αύξηση κατά 289.387€</w:t>
      </w:r>
      <w:r w:rsidRPr="00EB01D6">
        <w:rPr>
          <w:rFonts w:asciiTheme="minorHAnsi" w:hAnsiTheme="minorHAnsi" w:cstheme="minorHAnsi"/>
          <w:sz w:val="24"/>
          <w:szCs w:val="24"/>
        </w:rPr>
        <w:t xml:space="preserve"> (+ 9,45%)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sz w:val="24"/>
          <w:szCs w:val="24"/>
        </w:rPr>
        <w:t xml:space="preserve">β) </w:t>
      </w:r>
      <w:r w:rsidRPr="00EB01D6">
        <w:rPr>
          <w:rFonts w:asciiTheme="minorHAnsi" w:hAnsiTheme="minorHAnsi" w:cstheme="minorHAnsi"/>
          <w:b/>
          <w:sz w:val="24"/>
          <w:szCs w:val="24"/>
          <w:u w:val="single"/>
        </w:rPr>
        <w:t>Οι εισπράξεις από τα τέλη καθαριότητας</w:t>
      </w:r>
      <w:r w:rsidRPr="00EB01D6">
        <w:rPr>
          <w:rFonts w:asciiTheme="minorHAnsi" w:hAnsiTheme="minorHAnsi" w:cstheme="minorHAnsi"/>
          <w:sz w:val="24"/>
          <w:szCs w:val="24"/>
        </w:rPr>
        <w:t xml:space="preserve"> ανήλθαν μέχρι 30/9/2025 στα 1.892.486€ ευρώ, περίπου ίδιες με το αντίστοιχο διάστημα του 2024 (1.840.785€), ήτοι αύξηση 51.701€ ( + 2,81%) και ο ετήσιος στόχος έχει υλοποιηθεί κατά 75,32%.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 xml:space="preserve">Οι εισπράξεις από </w:t>
      </w:r>
      <w:r w:rsidRPr="00EB01D6">
        <w:rPr>
          <w:rFonts w:asciiTheme="minorHAnsi" w:hAnsiTheme="minorHAnsi" w:cstheme="minorHAnsi"/>
          <w:b/>
          <w:sz w:val="24"/>
          <w:szCs w:val="24"/>
          <w:u w:val="single"/>
        </w:rPr>
        <w:t>τέλη άρδευσης</w:t>
      </w:r>
      <w:r w:rsidRPr="00EB01D6">
        <w:rPr>
          <w:rFonts w:asciiTheme="minorHAnsi" w:hAnsiTheme="minorHAnsi" w:cstheme="minorHAnsi"/>
          <w:sz w:val="24"/>
          <w:szCs w:val="24"/>
        </w:rPr>
        <w:t xml:space="preserve"> ανήλθαν στα 178.768€ έναντι 209.645€ για το αντίστοιχο διάστημα του 2024, ήτοι – 30.877€ ( - 14,73%) και ο ετήσιος στόχος έχει υλοποιηθεί κατά 53,71%. Οι εισπράξεις αφορούν έσοδα παρελθόντων ετών (εισπρακτέα υπόλοιπα και βεβαιωθέντα για πρώτη φορά), αφού για την τρέχουσα καλλιεργητική περίοδο δεν έχουν εισπραχθεί ακόμη έσοδα</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u w:val="single"/>
        </w:rPr>
        <w:t>Διαπιστώνεται</w:t>
      </w:r>
      <w:r w:rsidRPr="00EB01D6">
        <w:rPr>
          <w:rFonts w:asciiTheme="minorHAnsi" w:hAnsiTheme="minorHAnsi" w:cstheme="minorHAnsi"/>
          <w:sz w:val="24"/>
          <w:szCs w:val="24"/>
        </w:rPr>
        <w:t xml:space="preserve"> ότι οι εισπράξεις από ανταποδοτικά τέλη καθαριότητας και άρδευσης των 2.071.254€ αποτελούν το 61,82% των συνολικών Ιδίων Εσόδων (3.350.532€)</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rPr>
        <w:t>γ)</w:t>
      </w:r>
      <w:r w:rsidRPr="00EB01D6">
        <w:rPr>
          <w:rFonts w:asciiTheme="minorHAnsi" w:hAnsiTheme="minorHAnsi" w:cstheme="minorHAnsi"/>
          <w:sz w:val="24"/>
          <w:szCs w:val="24"/>
        </w:rPr>
        <w:t xml:space="preserve"> </w:t>
      </w:r>
      <w:r w:rsidRPr="00EB01D6">
        <w:rPr>
          <w:rFonts w:asciiTheme="minorHAnsi" w:hAnsiTheme="minorHAnsi" w:cstheme="minorHAnsi"/>
          <w:b/>
          <w:bCs/>
          <w:sz w:val="24"/>
          <w:szCs w:val="24"/>
          <w:u w:val="single"/>
        </w:rPr>
        <w:t xml:space="preserve">Οι εισπράξεις </w:t>
      </w:r>
      <w:proofErr w:type="spellStart"/>
      <w:r w:rsidRPr="00EB01D6">
        <w:rPr>
          <w:rFonts w:asciiTheme="minorHAnsi" w:hAnsiTheme="minorHAnsi" w:cstheme="minorHAnsi"/>
          <w:b/>
          <w:bCs/>
          <w:sz w:val="24"/>
          <w:szCs w:val="24"/>
          <w:u w:val="single"/>
        </w:rPr>
        <w:t>απο</w:t>
      </w:r>
      <w:proofErr w:type="spellEnd"/>
      <w:r w:rsidRPr="00EB01D6">
        <w:rPr>
          <w:rFonts w:asciiTheme="minorHAnsi" w:hAnsiTheme="minorHAnsi" w:cstheme="minorHAnsi"/>
          <w:sz w:val="24"/>
          <w:szCs w:val="24"/>
          <w:u w:val="single"/>
        </w:rPr>
        <w:t xml:space="preserve"> </w:t>
      </w:r>
      <w:r w:rsidRPr="00EB01D6">
        <w:rPr>
          <w:rFonts w:asciiTheme="minorHAnsi" w:hAnsiTheme="minorHAnsi" w:cstheme="minorHAnsi"/>
          <w:b/>
          <w:sz w:val="24"/>
          <w:szCs w:val="24"/>
          <w:u w:val="single"/>
        </w:rPr>
        <w:t>Κ.Α.Π για γενικές ανάγκες</w:t>
      </w:r>
      <w:r w:rsidRPr="00EB01D6">
        <w:rPr>
          <w:rFonts w:asciiTheme="minorHAnsi" w:hAnsiTheme="minorHAnsi" w:cstheme="minorHAnsi"/>
          <w:b/>
          <w:sz w:val="24"/>
          <w:szCs w:val="24"/>
        </w:rPr>
        <w:t xml:space="preserve"> </w:t>
      </w:r>
      <w:r w:rsidRPr="00EB01D6">
        <w:rPr>
          <w:rFonts w:asciiTheme="minorHAnsi" w:hAnsiTheme="minorHAnsi" w:cstheme="minorHAnsi"/>
          <w:bCs/>
          <w:sz w:val="24"/>
          <w:szCs w:val="24"/>
        </w:rPr>
        <w:t>στις 30/9/2025</w:t>
      </w:r>
      <w:r w:rsidRPr="00EB01D6">
        <w:rPr>
          <w:rFonts w:asciiTheme="minorHAnsi" w:hAnsiTheme="minorHAnsi" w:cstheme="minorHAnsi"/>
          <w:sz w:val="24"/>
          <w:szCs w:val="24"/>
        </w:rPr>
        <w:t xml:space="preserve"> ανήλθαν στα 4.856.480,58€  έναντι 4.192.360,53€ το αντίστοιχο διάστημα του 2024, δηλαδή αύξηση κατά 664.120€ (+ 15,84%). Στην αύξηση των Κ.Α.Π. έχει συμπεριληφθεί και η έκτακτη κατανομή από Κ.Α.Π. για το τέλος ταφής </w:t>
      </w:r>
      <w:proofErr w:type="spellStart"/>
      <w:r w:rsidRPr="00EB01D6">
        <w:rPr>
          <w:rFonts w:asciiTheme="minorHAnsi" w:hAnsiTheme="minorHAnsi" w:cstheme="minorHAnsi"/>
          <w:sz w:val="24"/>
          <w:szCs w:val="24"/>
        </w:rPr>
        <w:t>αποριμμάτων</w:t>
      </w:r>
      <w:proofErr w:type="spellEnd"/>
      <w:r w:rsidRPr="00EB01D6">
        <w:rPr>
          <w:rFonts w:asciiTheme="minorHAnsi" w:hAnsiTheme="minorHAnsi" w:cstheme="minorHAnsi"/>
          <w:sz w:val="24"/>
          <w:szCs w:val="24"/>
        </w:rPr>
        <w:t xml:space="preserve"> που κατέβαλλε ο δήμος για το Β’ </w:t>
      </w:r>
      <w:r w:rsidRPr="00EB01D6">
        <w:rPr>
          <w:rFonts w:asciiTheme="minorHAnsi" w:hAnsiTheme="minorHAnsi" w:cstheme="minorHAnsi"/>
          <w:sz w:val="24"/>
          <w:szCs w:val="24"/>
        </w:rPr>
        <w:lastRenderedPageBreak/>
        <w:t>6μηνο του 2023 και το Α’ 6μηνο του 2024 ποσού 346.302,74€, που εισπράχθηκε στις 8/7/2025</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rPr>
        <w:t xml:space="preserve">δ) </w:t>
      </w:r>
      <w:r w:rsidRPr="00EB01D6">
        <w:rPr>
          <w:rFonts w:asciiTheme="minorHAnsi" w:hAnsiTheme="minorHAnsi" w:cstheme="minorHAnsi"/>
          <w:b/>
          <w:bCs/>
          <w:sz w:val="24"/>
          <w:szCs w:val="24"/>
          <w:u w:val="single"/>
        </w:rPr>
        <w:t xml:space="preserve">Οι εισπράξεις </w:t>
      </w:r>
      <w:proofErr w:type="spellStart"/>
      <w:r w:rsidRPr="00EB01D6">
        <w:rPr>
          <w:rFonts w:asciiTheme="minorHAnsi" w:hAnsiTheme="minorHAnsi" w:cstheme="minorHAnsi"/>
          <w:b/>
          <w:bCs/>
          <w:sz w:val="24"/>
          <w:szCs w:val="24"/>
          <w:u w:val="single"/>
        </w:rPr>
        <w:t>απο</w:t>
      </w:r>
      <w:proofErr w:type="spellEnd"/>
      <w:r w:rsidRPr="00EB01D6">
        <w:rPr>
          <w:rFonts w:asciiTheme="minorHAnsi" w:hAnsiTheme="minorHAnsi" w:cstheme="minorHAnsi"/>
          <w:sz w:val="24"/>
          <w:szCs w:val="24"/>
          <w:u w:val="single"/>
        </w:rPr>
        <w:t xml:space="preserve"> </w:t>
      </w:r>
      <w:r w:rsidRPr="00EB01D6">
        <w:rPr>
          <w:rFonts w:asciiTheme="minorHAnsi" w:hAnsiTheme="minorHAnsi" w:cstheme="minorHAnsi"/>
          <w:b/>
          <w:sz w:val="24"/>
          <w:szCs w:val="24"/>
          <w:u w:val="single"/>
        </w:rPr>
        <w:t>Κ.Α.Π για επενδυτικές δαπάνες</w:t>
      </w:r>
      <w:r w:rsidRPr="00EB01D6">
        <w:rPr>
          <w:rFonts w:asciiTheme="minorHAnsi" w:hAnsiTheme="minorHAnsi" w:cstheme="minorHAnsi"/>
          <w:b/>
          <w:sz w:val="24"/>
          <w:szCs w:val="24"/>
        </w:rPr>
        <w:t xml:space="preserve"> </w:t>
      </w:r>
      <w:r w:rsidRPr="00EB01D6">
        <w:rPr>
          <w:rFonts w:asciiTheme="minorHAnsi" w:hAnsiTheme="minorHAnsi" w:cstheme="minorHAnsi"/>
          <w:bCs/>
          <w:sz w:val="24"/>
          <w:szCs w:val="24"/>
        </w:rPr>
        <w:t>στις 30/9/2025</w:t>
      </w:r>
      <w:r w:rsidRPr="00EB01D6">
        <w:rPr>
          <w:rFonts w:asciiTheme="minorHAnsi" w:hAnsiTheme="minorHAnsi" w:cstheme="minorHAnsi"/>
          <w:sz w:val="24"/>
          <w:szCs w:val="24"/>
        </w:rPr>
        <w:t xml:space="preserve"> ανήλθαν στα 258.075€, ήτοι σε ποσοστό 50,00% του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των 516.150€ (η χρηματοδότηση είναι ακριβώς ίδια όλα τα τελευταία χρόνια). Ο στόχος θα επιτευχθεί στο </w:t>
      </w:r>
      <w:proofErr w:type="spellStart"/>
      <w:r w:rsidRPr="00EB01D6">
        <w:rPr>
          <w:rFonts w:asciiTheme="minorHAnsi" w:hAnsiTheme="minorHAnsi" w:cstheme="minorHAnsi"/>
          <w:sz w:val="24"/>
          <w:szCs w:val="24"/>
        </w:rPr>
        <w:t>προυπολογισθέν</w:t>
      </w:r>
      <w:proofErr w:type="spellEnd"/>
      <w:r w:rsidRPr="00EB01D6">
        <w:rPr>
          <w:rFonts w:asciiTheme="minorHAnsi" w:hAnsiTheme="minorHAnsi" w:cstheme="minorHAnsi"/>
          <w:sz w:val="24"/>
          <w:szCs w:val="24"/>
        </w:rPr>
        <w:t xml:space="preserve"> ποσό</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sz w:val="24"/>
          <w:szCs w:val="24"/>
        </w:rPr>
        <w:t xml:space="preserve">ε) </w:t>
      </w:r>
      <w:r w:rsidRPr="00EB01D6">
        <w:rPr>
          <w:rFonts w:asciiTheme="minorHAnsi" w:hAnsiTheme="minorHAnsi" w:cstheme="minorHAnsi"/>
          <w:sz w:val="24"/>
          <w:szCs w:val="24"/>
        </w:rPr>
        <w:t xml:space="preserve">Οι εισπράξεις των επιχορηγήσεων για </w:t>
      </w:r>
      <w:r w:rsidRPr="00EB01D6">
        <w:rPr>
          <w:rFonts w:asciiTheme="minorHAnsi" w:hAnsiTheme="minorHAnsi" w:cstheme="minorHAnsi"/>
          <w:b/>
          <w:bCs/>
          <w:sz w:val="24"/>
          <w:szCs w:val="24"/>
        </w:rPr>
        <w:t>πυροπροστασία</w:t>
      </w:r>
      <w:r w:rsidRPr="00EB01D6">
        <w:rPr>
          <w:rFonts w:asciiTheme="minorHAnsi" w:hAnsiTheme="minorHAnsi" w:cstheme="minorHAnsi"/>
          <w:sz w:val="24"/>
          <w:szCs w:val="24"/>
        </w:rPr>
        <w:t xml:space="preserve"> ανήλθαν στα 142.000€ (97.000€ το 2024), οι εισπράξεις από ΚΑΠ για την </w:t>
      </w:r>
      <w:r w:rsidRPr="00EB01D6">
        <w:rPr>
          <w:rFonts w:asciiTheme="minorHAnsi" w:hAnsiTheme="minorHAnsi" w:cstheme="minorHAnsi"/>
          <w:b/>
          <w:bCs/>
          <w:sz w:val="24"/>
          <w:szCs w:val="24"/>
        </w:rPr>
        <w:t>κάλυψη των</w:t>
      </w:r>
      <w:r w:rsidRPr="00EB01D6">
        <w:rPr>
          <w:rFonts w:asciiTheme="minorHAnsi" w:hAnsiTheme="minorHAnsi" w:cstheme="minorHAnsi"/>
          <w:sz w:val="24"/>
          <w:szCs w:val="24"/>
        </w:rPr>
        <w:t xml:space="preserve"> </w:t>
      </w:r>
      <w:r w:rsidRPr="00EB01D6">
        <w:rPr>
          <w:rFonts w:asciiTheme="minorHAnsi" w:hAnsiTheme="minorHAnsi" w:cstheme="minorHAnsi"/>
          <w:b/>
          <w:bCs/>
          <w:sz w:val="24"/>
          <w:szCs w:val="24"/>
        </w:rPr>
        <w:t>λειτουργικών αναγκών των σχολείων</w:t>
      </w:r>
      <w:r w:rsidRPr="00EB01D6">
        <w:rPr>
          <w:rFonts w:asciiTheme="minorHAnsi" w:hAnsiTheme="minorHAnsi" w:cstheme="minorHAnsi"/>
          <w:sz w:val="24"/>
          <w:szCs w:val="24"/>
        </w:rPr>
        <w:t xml:space="preserve"> Α/</w:t>
      </w:r>
      <w:proofErr w:type="spellStart"/>
      <w:r w:rsidRPr="00EB01D6">
        <w:rPr>
          <w:rFonts w:asciiTheme="minorHAnsi" w:hAnsiTheme="minorHAnsi" w:cstheme="minorHAnsi"/>
          <w:sz w:val="24"/>
          <w:szCs w:val="24"/>
        </w:rPr>
        <w:t>θμιας</w:t>
      </w:r>
      <w:proofErr w:type="spellEnd"/>
      <w:r w:rsidRPr="00EB01D6">
        <w:rPr>
          <w:rFonts w:asciiTheme="minorHAnsi" w:hAnsiTheme="minorHAnsi" w:cstheme="minorHAnsi"/>
          <w:sz w:val="24"/>
          <w:szCs w:val="24"/>
        </w:rPr>
        <w:t xml:space="preserve"> και Β/</w:t>
      </w:r>
      <w:proofErr w:type="spellStart"/>
      <w:r w:rsidRPr="00EB01D6">
        <w:rPr>
          <w:rFonts w:asciiTheme="minorHAnsi" w:hAnsiTheme="minorHAnsi" w:cstheme="minorHAnsi"/>
          <w:sz w:val="24"/>
          <w:szCs w:val="24"/>
        </w:rPr>
        <w:t>θμιας</w:t>
      </w:r>
      <w:proofErr w:type="spellEnd"/>
      <w:r w:rsidRPr="00EB01D6">
        <w:rPr>
          <w:rFonts w:asciiTheme="minorHAnsi" w:hAnsiTheme="minorHAnsi" w:cstheme="minorHAnsi"/>
          <w:sz w:val="24"/>
          <w:szCs w:val="24"/>
        </w:rPr>
        <w:t xml:space="preserve"> εκπαίδευσης ήταν 282.490€ (280.010€ το 2024), για την σίτιση των μαθητών του </w:t>
      </w:r>
      <w:r w:rsidRPr="00EB01D6">
        <w:rPr>
          <w:rFonts w:asciiTheme="minorHAnsi" w:hAnsiTheme="minorHAnsi" w:cstheme="minorHAnsi"/>
          <w:b/>
          <w:bCs/>
          <w:sz w:val="24"/>
          <w:szCs w:val="24"/>
        </w:rPr>
        <w:t>Μουσικού Σχολείου</w:t>
      </w:r>
      <w:r w:rsidRPr="00EB01D6">
        <w:rPr>
          <w:rFonts w:asciiTheme="minorHAnsi" w:hAnsiTheme="minorHAnsi" w:cstheme="minorHAnsi"/>
          <w:sz w:val="24"/>
          <w:szCs w:val="24"/>
        </w:rPr>
        <w:t xml:space="preserve"> 67.294,89€, όπου συμπεριλαμβάνονται και τα μη εισπραχθέντα ποσά του 2024 και για κάλυψη δαπανών αποκομιδής απορριμμάτων του οδικού δικτύου αρμοδιότητας Περιφερειών στα 49.637,13€ (47.000,30€ το 2024).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sz w:val="24"/>
          <w:szCs w:val="24"/>
        </w:rPr>
        <w:t xml:space="preserve">Για </w:t>
      </w:r>
      <w:r w:rsidRPr="00EB01D6">
        <w:rPr>
          <w:rFonts w:asciiTheme="minorHAnsi" w:hAnsiTheme="minorHAnsi" w:cstheme="minorHAnsi"/>
          <w:b/>
          <w:bCs/>
          <w:sz w:val="24"/>
          <w:szCs w:val="24"/>
        </w:rPr>
        <w:t>συντηρήσεις-επισκευές σχολικών κτιρίων</w:t>
      </w:r>
      <w:r w:rsidRPr="00EB01D6">
        <w:rPr>
          <w:rFonts w:asciiTheme="minorHAnsi" w:hAnsiTheme="minorHAnsi" w:cstheme="minorHAnsi"/>
          <w:sz w:val="24"/>
          <w:szCs w:val="24"/>
        </w:rPr>
        <w:t xml:space="preserve"> προϋπολογισμού 100.600€, εισπράχθηκαν 100.600€ στις 9/7/2025 και για την υλοποίηση </w:t>
      </w:r>
      <w:r w:rsidRPr="00EB01D6">
        <w:rPr>
          <w:rFonts w:asciiTheme="minorHAnsi" w:hAnsiTheme="minorHAnsi" w:cstheme="minorHAnsi"/>
          <w:b/>
          <w:bCs/>
          <w:sz w:val="24"/>
          <w:szCs w:val="24"/>
        </w:rPr>
        <w:t>δράσεων διαχείρισης αδέσποτων ζώων συντροφιάς</w:t>
      </w:r>
      <w:r w:rsidRPr="00EB01D6">
        <w:rPr>
          <w:rFonts w:asciiTheme="minorHAnsi" w:hAnsiTheme="minorHAnsi" w:cstheme="minorHAnsi"/>
          <w:sz w:val="24"/>
          <w:szCs w:val="24"/>
        </w:rPr>
        <w:t xml:space="preserve">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18.000€, δεν εισπράχθηκε κανένα ποσό μέχρι 30/9/2025.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rPr>
        <w:t>στ)</w:t>
      </w:r>
      <w:r w:rsidRPr="00EB01D6">
        <w:rPr>
          <w:rFonts w:asciiTheme="minorHAnsi" w:hAnsiTheme="minorHAnsi" w:cstheme="minorHAnsi"/>
          <w:sz w:val="24"/>
          <w:szCs w:val="24"/>
        </w:rPr>
        <w:t xml:space="preserve"> Η είσπραξη από </w:t>
      </w:r>
      <w:r w:rsidRPr="00EB01D6">
        <w:rPr>
          <w:rFonts w:asciiTheme="minorHAnsi" w:hAnsiTheme="minorHAnsi" w:cstheme="minorHAnsi"/>
          <w:b/>
          <w:sz w:val="24"/>
          <w:szCs w:val="24"/>
          <w:u w:val="single"/>
        </w:rPr>
        <w:t>Λοιπούς Θεσμοθετημένους Πόρους</w:t>
      </w:r>
      <w:r w:rsidRPr="00EB01D6">
        <w:rPr>
          <w:rFonts w:asciiTheme="minorHAnsi" w:hAnsiTheme="minorHAnsi" w:cstheme="minorHAnsi"/>
          <w:sz w:val="24"/>
          <w:szCs w:val="24"/>
        </w:rPr>
        <w:t xml:space="preserve">  ανήλθε στα 209.385 ευρώ, που αφορά επιχορήγηση για την κάλυψη δαπανών μισθοδοσίας </w:t>
      </w:r>
      <w:r w:rsidRPr="00EB01D6">
        <w:rPr>
          <w:rFonts w:asciiTheme="minorHAnsi" w:hAnsiTheme="minorHAnsi" w:cstheme="minorHAnsi"/>
          <w:b/>
          <w:bCs/>
          <w:sz w:val="24"/>
          <w:szCs w:val="24"/>
        </w:rPr>
        <w:t>προσωπικού καθαριότητας με σχέση εργασίας ΙΔΟΧ στις σχολικές μονάδες</w:t>
      </w:r>
      <w:r w:rsidRPr="00EB01D6">
        <w:rPr>
          <w:rFonts w:asciiTheme="minorHAnsi" w:hAnsiTheme="minorHAnsi" w:cstheme="minorHAnsi"/>
          <w:sz w:val="24"/>
          <w:szCs w:val="24"/>
        </w:rPr>
        <w:t xml:space="preserve">, ενώ το 9μηνο του 2024 είχαν εισπραχθεί 261.958€, ήτοι μείωση 52.573€.  Για το Πρόγραμμα </w:t>
      </w:r>
      <w:r w:rsidRPr="00EB01D6">
        <w:rPr>
          <w:rFonts w:asciiTheme="minorHAnsi" w:hAnsiTheme="minorHAnsi" w:cstheme="minorHAnsi"/>
          <w:b/>
          <w:bCs/>
          <w:sz w:val="24"/>
          <w:szCs w:val="24"/>
        </w:rPr>
        <w:t>«Βοήθεια στο Σπίτι»</w:t>
      </w:r>
      <w:r w:rsidRPr="00EB01D6">
        <w:rPr>
          <w:rFonts w:asciiTheme="minorHAnsi" w:hAnsiTheme="minorHAnsi" w:cstheme="minorHAnsi"/>
          <w:sz w:val="24"/>
          <w:szCs w:val="24"/>
        </w:rPr>
        <w:t xml:space="preserve"> προϋπολογισμού 193.349€ δεν έχει </w:t>
      </w:r>
      <w:proofErr w:type="spellStart"/>
      <w:r w:rsidRPr="00EB01D6">
        <w:rPr>
          <w:rFonts w:asciiTheme="minorHAnsi" w:hAnsiTheme="minorHAnsi" w:cstheme="minorHAnsi"/>
          <w:sz w:val="24"/>
          <w:szCs w:val="24"/>
        </w:rPr>
        <w:t>ειπραχθεί</w:t>
      </w:r>
      <w:proofErr w:type="spellEnd"/>
      <w:r w:rsidRPr="00EB01D6">
        <w:rPr>
          <w:rFonts w:asciiTheme="minorHAnsi" w:hAnsiTheme="minorHAnsi" w:cstheme="minorHAnsi"/>
          <w:sz w:val="24"/>
          <w:szCs w:val="24"/>
        </w:rPr>
        <w:t xml:space="preserve"> κανένα ποσό.</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bCs/>
          <w:sz w:val="24"/>
          <w:szCs w:val="24"/>
        </w:rPr>
        <w:t>ζ)</w:t>
      </w:r>
      <w:r w:rsidRPr="00EB01D6">
        <w:rPr>
          <w:rFonts w:asciiTheme="minorHAnsi" w:hAnsiTheme="minorHAnsi" w:cstheme="minorHAnsi"/>
          <w:sz w:val="24"/>
          <w:szCs w:val="24"/>
        </w:rPr>
        <w:t xml:space="preserve"> Για τις </w:t>
      </w:r>
      <w:r w:rsidRPr="00EB01D6">
        <w:rPr>
          <w:rFonts w:asciiTheme="minorHAnsi" w:hAnsiTheme="minorHAnsi" w:cstheme="minorHAnsi"/>
          <w:b/>
          <w:sz w:val="24"/>
          <w:szCs w:val="24"/>
        </w:rPr>
        <w:t xml:space="preserve">έκτακτες επιχορηγήσεις για λειτουργικές δαπάνες (Κ.Α. 12) </w:t>
      </w:r>
      <w:r w:rsidRPr="00EB01D6">
        <w:rPr>
          <w:rFonts w:asciiTheme="minorHAnsi" w:hAnsiTheme="minorHAnsi" w:cstheme="minorHAnsi"/>
          <w:sz w:val="24"/>
          <w:szCs w:val="24"/>
        </w:rPr>
        <w:t xml:space="preserve">προϋπολογίστηκε ότι οι εισπράξεις του 2025 θα ανέλθουν στα </w:t>
      </w:r>
      <w:r w:rsidRPr="00EB01D6">
        <w:rPr>
          <w:rFonts w:asciiTheme="minorHAnsi" w:hAnsiTheme="minorHAnsi" w:cstheme="minorHAnsi"/>
          <w:b/>
          <w:bCs/>
          <w:sz w:val="24"/>
          <w:szCs w:val="24"/>
        </w:rPr>
        <w:t>1.378.852€</w:t>
      </w:r>
      <w:r w:rsidRPr="00EB01D6">
        <w:rPr>
          <w:rFonts w:asciiTheme="minorHAnsi" w:hAnsiTheme="minorHAnsi" w:cstheme="minorHAnsi"/>
          <w:sz w:val="24"/>
          <w:szCs w:val="24"/>
        </w:rPr>
        <w:t xml:space="preserve"> και  μέχρι 30/9/2025 </w:t>
      </w:r>
      <w:r w:rsidRPr="00EB01D6">
        <w:rPr>
          <w:rFonts w:asciiTheme="minorHAnsi" w:hAnsiTheme="minorHAnsi" w:cstheme="minorHAnsi"/>
          <w:b/>
          <w:bCs/>
          <w:sz w:val="24"/>
          <w:szCs w:val="24"/>
        </w:rPr>
        <w:t>εισπράχθηκαν 550.080€</w:t>
      </w:r>
      <w:r w:rsidRPr="00EB01D6">
        <w:rPr>
          <w:rFonts w:asciiTheme="minorHAnsi" w:hAnsiTheme="minorHAnsi" w:cstheme="minorHAnsi"/>
          <w:sz w:val="24"/>
          <w:szCs w:val="24"/>
        </w:rPr>
        <w:t xml:space="preserve"> (39,89% του προϋπολογισμού). Εισπράχθηκε μέχρι 30/9/2025 ποσό </w:t>
      </w:r>
      <w:r w:rsidRPr="00EB01D6">
        <w:rPr>
          <w:rFonts w:asciiTheme="minorHAnsi" w:hAnsiTheme="minorHAnsi" w:cstheme="minorHAnsi"/>
          <w:sz w:val="24"/>
          <w:szCs w:val="24"/>
          <w:u w:val="single"/>
        </w:rPr>
        <w:t>234.571€</w:t>
      </w:r>
      <w:r w:rsidRPr="00EB01D6">
        <w:rPr>
          <w:rStyle w:val="a7"/>
          <w:rFonts w:asciiTheme="minorHAnsi" w:hAnsiTheme="minorHAnsi" w:cstheme="minorHAnsi"/>
          <w:b/>
          <w:bCs/>
          <w:sz w:val="24"/>
          <w:szCs w:val="24"/>
          <w:u w:val="single"/>
        </w:rPr>
        <w:footnoteReference w:id="3"/>
      </w:r>
      <w:r w:rsidRPr="00EB01D6">
        <w:rPr>
          <w:rFonts w:asciiTheme="minorHAnsi" w:hAnsiTheme="minorHAnsi" w:cstheme="minorHAnsi"/>
          <w:sz w:val="24"/>
          <w:szCs w:val="24"/>
          <w:u w:val="single"/>
        </w:rPr>
        <w:t xml:space="preserve"> για τους Παιδικούς Σταθμούς</w:t>
      </w:r>
      <w:r w:rsidRPr="00EB01D6">
        <w:rPr>
          <w:rFonts w:asciiTheme="minorHAnsi" w:hAnsiTheme="minorHAnsi" w:cstheme="minorHAnsi"/>
          <w:sz w:val="24"/>
          <w:szCs w:val="24"/>
        </w:rPr>
        <w:t xml:space="preserve"> μέσω του προγράμματος «Υλοποίηση Ευρωπαϊκού προγράμματος "Εναρμόνιση οικογενειακής και επαγγελματικής ζωής», 198.355€ επιχορηγήσεις για κοινωνικές δομές, 37.200€ από Πράσινο Ταμείο  για Επιχειρησιακό Σχέδιο για την εξασφάλιση κοινόχρηστων και κοινωφελών χώρων </w:t>
      </w:r>
      <w:r w:rsidRPr="00EB01D6">
        <w:rPr>
          <w:rFonts w:asciiTheme="minorHAnsi" w:hAnsiTheme="minorHAnsi" w:cstheme="minorHAnsi"/>
          <w:sz w:val="24"/>
          <w:szCs w:val="24"/>
        </w:rPr>
        <w:lastRenderedPageBreak/>
        <w:t xml:space="preserve">Ε.Σ.Ε.Κ.Κ., 23.804,44€ από το πρόγραμμα </w:t>
      </w:r>
      <w:r w:rsidRPr="00EB01D6">
        <w:rPr>
          <w:rFonts w:asciiTheme="minorHAnsi" w:hAnsiTheme="minorHAnsi" w:cstheme="minorHAnsi"/>
          <w:sz w:val="24"/>
          <w:szCs w:val="24"/>
          <w:lang w:val="en-US"/>
        </w:rPr>
        <w:t>MUST</w:t>
      </w:r>
      <w:r w:rsidRPr="00EB01D6">
        <w:rPr>
          <w:rFonts w:asciiTheme="minorHAnsi" w:hAnsiTheme="minorHAnsi" w:cstheme="minorHAnsi"/>
          <w:sz w:val="24"/>
          <w:szCs w:val="24"/>
        </w:rPr>
        <w:t xml:space="preserve"> </w:t>
      </w:r>
      <w:r w:rsidRPr="00EB01D6">
        <w:rPr>
          <w:rFonts w:asciiTheme="minorHAnsi" w:hAnsiTheme="minorHAnsi" w:cstheme="minorHAnsi"/>
          <w:sz w:val="24"/>
          <w:szCs w:val="24"/>
          <w:lang w:val="en-US"/>
        </w:rPr>
        <w:t>a</w:t>
      </w:r>
      <w:r w:rsidRPr="00EB01D6">
        <w:rPr>
          <w:rFonts w:asciiTheme="minorHAnsi" w:hAnsiTheme="minorHAnsi" w:cstheme="minorHAnsi"/>
          <w:sz w:val="24"/>
          <w:szCs w:val="24"/>
        </w:rPr>
        <w:t xml:space="preserve"> </w:t>
      </w:r>
      <w:r w:rsidRPr="00EB01D6">
        <w:rPr>
          <w:rFonts w:asciiTheme="minorHAnsi" w:hAnsiTheme="minorHAnsi" w:cstheme="minorHAnsi"/>
          <w:sz w:val="24"/>
          <w:szCs w:val="24"/>
          <w:lang w:val="en-US"/>
        </w:rPr>
        <w:t>Lamp</w:t>
      </w:r>
      <w:r w:rsidRPr="00EB01D6">
        <w:rPr>
          <w:rFonts w:asciiTheme="minorHAnsi" w:hAnsiTheme="minorHAnsi" w:cstheme="minorHAnsi"/>
          <w:sz w:val="24"/>
          <w:szCs w:val="24"/>
        </w:rPr>
        <w:t xml:space="preserve">, 27.858,13€ από Πρόγραμμα </w:t>
      </w:r>
      <w:proofErr w:type="spellStart"/>
      <w:r w:rsidRPr="00EB01D6">
        <w:rPr>
          <w:rFonts w:asciiTheme="minorHAnsi" w:hAnsiTheme="minorHAnsi" w:cstheme="minorHAnsi"/>
          <w:sz w:val="24"/>
          <w:szCs w:val="24"/>
        </w:rPr>
        <w:t>΄΄ΗΟRΙΖΟΝ</w:t>
      </w:r>
      <w:proofErr w:type="spellEnd"/>
      <w:r w:rsidRPr="00EB01D6">
        <w:rPr>
          <w:rFonts w:asciiTheme="minorHAnsi" w:hAnsiTheme="minorHAnsi" w:cstheme="minorHAnsi"/>
          <w:sz w:val="24"/>
          <w:szCs w:val="24"/>
        </w:rPr>
        <w:t xml:space="preserve"> 2020, έργο FRONTSH1P - Στρατηγικό σχέδιο δράσης για την κυκλική οικονομία, 15.948,72€ από το Υπουργείο Μετανάστευσης και Ασύλου για την υλοποίηση του Έργου του προγράμματος HELIOS και 9.843€ επιχορήγηση από Πράσινο Ταμείο για </w:t>
      </w:r>
      <w:proofErr w:type="spellStart"/>
      <w:r w:rsidRPr="00EB01D6">
        <w:rPr>
          <w:rFonts w:asciiTheme="minorHAnsi" w:hAnsiTheme="minorHAnsi" w:cstheme="minorHAnsi"/>
          <w:sz w:val="24"/>
          <w:szCs w:val="24"/>
        </w:rPr>
        <w:t>συνδιοργάνωση</w:t>
      </w:r>
      <w:proofErr w:type="spellEnd"/>
      <w:r w:rsidRPr="00EB01D6">
        <w:rPr>
          <w:rFonts w:asciiTheme="minorHAnsi" w:hAnsiTheme="minorHAnsi" w:cstheme="minorHAnsi"/>
          <w:sz w:val="24"/>
          <w:szCs w:val="24"/>
        </w:rPr>
        <w:t xml:space="preserve"> διημερίδας ή συνέδριο με τίτλο «Περιβάλλον, κλιματική αλλαγή , ποτάμια, οικοσυστήματα» </w:t>
      </w:r>
    </w:p>
    <w:p w:rsidR="006760EA" w:rsidRPr="00EB01D6"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sz w:val="24"/>
          <w:szCs w:val="24"/>
        </w:rPr>
        <w:t>η) Για τις</w:t>
      </w:r>
      <w:r w:rsidRPr="00EB01D6">
        <w:rPr>
          <w:rFonts w:asciiTheme="minorHAnsi" w:hAnsiTheme="minorHAnsi" w:cstheme="minorHAnsi"/>
          <w:sz w:val="24"/>
          <w:szCs w:val="24"/>
        </w:rPr>
        <w:t xml:space="preserve"> </w:t>
      </w:r>
      <w:r w:rsidRPr="00EB01D6">
        <w:rPr>
          <w:rFonts w:asciiTheme="minorHAnsi" w:hAnsiTheme="minorHAnsi" w:cstheme="minorHAnsi"/>
          <w:b/>
          <w:sz w:val="24"/>
          <w:szCs w:val="24"/>
          <w:u w:val="single"/>
        </w:rPr>
        <w:t>επιχορηγήσεις για επενδύσεις (Κ.Α. 13)</w:t>
      </w:r>
      <w:r w:rsidRPr="00EB01D6">
        <w:rPr>
          <w:rFonts w:asciiTheme="minorHAnsi" w:hAnsiTheme="minorHAnsi" w:cstheme="minorHAnsi"/>
          <w:sz w:val="24"/>
          <w:szCs w:val="24"/>
        </w:rPr>
        <w:t xml:space="preserve">  ο </w:t>
      </w:r>
      <w:proofErr w:type="spellStart"/>
      <w:r w:rsidRPr="00EB01D6">
        <w:rPr>
          <w:rFonts w:asciiTheme="minorHAnsi" w:hAnsiTheme="minorHAnsi" w:cstheme="minorHAnsi"/>
          <w:sz w:val="24"/>
          <w:szCs w:val="24"/>
        </w:rPr>
        <w:t>προυπολογισμός</w:t>
      </w:r>
      <w:proofErr w:type="spellEnd"/>
      <w:r w:rsidRPr="00EB01D6">
        <w:rPr>
          <w:rFonts w:asciiTheme="minorHAnsi" w:hAnsiTheme="minorHAnsi" w:cstheme="minorHAnsi"/>
          <w:sz w:val="24"/>
          <w:szCs w:val="24"/>
        </w:rPr>
        <w:t xml:space="preserve"> διαμορφώθηκε στα </w:t>
      </w:r>
      <w:r w:rsidRPr="00EB01D6">
        <w:rPr>
          <w:rFonts w:asciiTheme="minorHAnsi" w:hAnsiTheme="minorHAnsi" w:cstheme="minorHAnsi"/>
          <w:b/>
          <w:bCs/>
          <w:sz w:val="24"/>
          <w:szCs w:val="24"/>
        </w:rPr>
        <w:t>8.599.504,65€</w:t>
      </w:r>
      <w:r w:rsidRPr="00EB01D6">
        <w:rPr>
          <w:rFonts w:asciiTheme="minorHAnsi" w:hAnsiTheme="minorHAnsi" w:cstheme="minorHAnsi"/>
          <w:sz w:val="24"/>
          <w:szCs w:val="24"/>
        </w:rPr>
        <w:t xml:space="preserve"> και μέχρι 30/9/2025 </w:t>
      </w:r>
      <w:r w:rsidRPr="00EB01D6">
        <w:rPr>
          <w:rFonts w:asciiTheme="minorHAnsi" w:hAnsiTheme="minorHAnsi" w:cstheme="minorHAnsi"/>
          <w:b/>
          <w:bCs/>
          <w:sz w:val="24"/>
          <w:szCs w:val="24"/>
        </w:rPr>
        <w:t>εισπράχθηκαν 2.581.549€</w:t>
      </w:r>
      <w:r w:rsidRPr="00EB01D6">
        <w:rPr>
          <w:rStyle w:val="a7"/>
          <w:rFonts w:asciiTheme="minorHAnsi" w:hAnsiTheme="minorHAnsi" w:cstheme="minorHAnsi"/>
          <w:b/>
          <w:bCs/>
          <w:sz w:val="24"/>
          <w:szCs w:val="24"/>
        </w:rPr>
        <w:footnoteReference w:id="4"/>
      </w:r>
      <w:r w:rsidRPr="00EB01D6">
        <w:rPr>
          <w:rFonts w:asciiTheme="minorHAnsi" w:hAnsiTheme="minorHAnsi" w:cstheme="minorHAnsi"/>
          <w:sz w:val="24"/>
          <w:szCs w:val="24"/>
        </w:rPr>
        <w:t xml:space="preserve">, ήτοι το 30,02% του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Σε σύγκριση με το 9μηνο του 2024 υπάρχει </w:t>
      </w:r>
      <w:r w:rsidRPr="00EB01D6">
        <w:rPr>
          <w:rFonts w:asciiTheme="minorHAnsi" w:hAnsiTheme="minorHAnsi" w:cstheme="minorHAnsi"/>
          <w:sz w:val="24"/>
          <w:szCs w:val="24"/>
          <w:u w:val="single"/>
        </w:rPr>
        <w:t>αύξηση κατά 454.930€  21,39%),</w:t>
      </w:r>
      <w:r w:rsidRPr="00EB01D6">
        <w:rPr>
          <w:rFonts w:asciiTheme="minorHAnsi" w:hAnsiTheme="minorHAnsi" w:cstheme="minorHAnsi"/>
          <w:sz w:val="24"/>
          <w:szCs w:val="24"/>
        </w:rPr>
        <w:t xml:space="preserve"> και </w:t>
      </w:r>
      <w:r w:rsidRPr="00EB01D6">
        <w:rPr>
          <w:rFonts w:asciiTheme="minorHAnsi" w:hAnsiTheme="minorHAnsi" w:cstheme="minorHAnsi"/>
          <w:sz w:val="24"/>
          <w:szCs w:val="24"/>
          <w:u w:val="single"/>
        </w:rPr>
        <w:t>ο ετήσιος στόχος του 2025 (</w:t>
      </w:r>
      <w:proofErr w:type="spellStart"/>
      <w:r w:rsidRPr="00EB01D6">
        <w:rPr>
          <w:rFonts w:asciiTheme="minorHAnsi" w:hAnsiTheme="minorHAnsi" w:cstheme="minorHAnsi"/>
          <w:sz w:val="24"/>
          <w:szCs w:val="24"/>
          <w:u w:val="single"/>
        </w:rPr>
        <w:t>οπισθοβαρής</w:t>
      </w:r>
      <w:proofErr w:type="spellEnd"/>
      <w:r w:rsidRPr="00EB01D6">
        <w:rPr>
          <w:rFonts w:asciiTheme="minorHAnsi" w:hAnsiTheme="minorHAnsi" w:cstheme="minorHAnsi"/>
          <w:sz w:val="24"/>
          <w:szCs w:val="24"/>
          <w:u w:val="single"/>
        </w:rPr>
        <w:t>) δεν θα υλοποιηθεί</w:t>
      </w:r>
      <w:r w:rsidRPr="00EB01D6">
        <w:rPr>
          <w:rFonts w:asciiTheme="minorHAnsi" w:hAnsiTheme="minorHAnsi" w:cstheme="minorHAnsi"/>
          <w:sz w:val="24"/>
          <w:szCs w:val="24"/>
        </w:rPr>
        <w:t xml:space="preserve"> και θα παρουσιάσει σημαντική απόκλιση. </w:t>
      </w:r>
    </w:p>
    <w:p w:rsidR="006760EA" w:rsidRDefault="006760EA" w:rsidP="006760EA">
      <w:pPr>
        <w:spacing w:before="120" w:after="120" w:line="360" w:lineRule="auto"/>
        <w:jc w:val="both"/>
        <w:rPr>
          <w:rFonts w:asciiTheme="minorHAnsi" w:hAnsiTheme="minorHAnsi" w:cstheme="minorHAnsi"/>
          <w:sz w:val="24"/>
          <w:szCs w:val="24"/>
        </w:rPr>
      </w:pPr>
      <w:r w:rsidRPr="00EB01D6">
        <w:rPr>
          <w:rFonts w:asciiTheme="minorHAnsi" w:hAnsiTheme="minorHAnsi" w:cstheme="minorHAnsi"/>
          <w:b/>
          <w:sz w:val="24"/>
          <w:szCs w:val="24"/>
        </w:rPr>
        <w:t>θ)</w:t>
      </w:r>
      <w:r w:rsidRPr="00EB01D6">
        <w:rPr>
          <w:rFonts w:asciiTheme="minorHAnsi" w:hAnsiTheme="minorHAnsi" w:cstheme="minorHAnsi"/>
          <w:sz w:val="24"/>
          <w:szCs w:val="24"/>
        </w:rPr>
        <w:t xml:space="preserve"> Ως </w:t>
      </w:r>
      <w:r w:rsidRPr="00EB01D6">
        <w:rPr>
          <w:rFonts w:asciiTheme="minorHAnsi" w:hAnsiTheme="minorHAnsi" w:cstheme="minorHAnsi"/>
          <w:b/>
          <w:sz w:val="24"/>
          <w:szCs w:val="24"/>
        </w:rPr>
        <w:t>εισπράξεις από Δάνεια</w:t>
      </w:r>
      <w:r w:rsidRPr="00EB01D6">
        <w:rPr>
          <w:rFonts w:asciiTheme="minorHAnsi" w:hAnsiTheme="minorHAnsi" w:cstheme="minorHAnsi"/>
          <w:sz w:val="24"/>
          <w:szCs w:val="24"/>
        </w:rPr>
        <w:t xml:space="preserve"> στον </w:t>
      </w:r>
      <w:proofErr w:type="spellStart"/>
      <w:r w:rsidRPr="00EB01D6">
        <w:rPr>
          <w:rFonts w:asciiTheme="minorHAnsi" w:hAnsiTheme="minorHAnsi" w:cstheme="minorHAnsi"/>
          <w:sz w:val="24"/>
          <w:szCs w:val="24"/>
        </w:rPr>
        <w:t>προυπολογισμό</w:t>
      </w:r>
      <w:proofErr w:type="spellEnd"/>
      <w:r w:rsidRPr="00EB01D6">
        <w:rPr>
          <w:rFonts w:asciiTheme="minorHAnsi" w:hAnsiTheme="minorHAnsi" w:cstheme="minorHAnsi"/>
          <w:sz w:val="24"/>
          <w:szCs w:val="24"/>
        </w:rPr>
        <w:t xml:space="preserve"> προβλέπονται επενδυτικά δάνεια από το πρόγραμμα Αντ. </w:t>
      </w:r>
      <w:proofErr w:type="spellStart"/>
      <w:r w:rsidRPr="00EB01D6">
        <w:rPr>
          <w:rFonts w:asciiTheme="minorHAnsi" w:hAnsiTheme="minorHAnsi" w:cstheme="minorHAnsi"/>
          <w:sz w:val="24"/>
          <w:szCs w:val="24"/>
        </w:rPr>
        <w:t>Τρίτσης</w:t>
      </w:r>
      <w:proofErr w:type="spellEnd"/>
      <w:r w:rsidRPr="00EB01D6">
        <w:rPr>
          <w:rFonts w:asciiTheme="minorHAnsi" w:hAnsiTheme="minorHAnsi" w:cstheme="minorHAnsi"/>
          <w:sz w:val="24"/>
          <w:szCs w:val="24"/>
        </w:rPr>
        <w:t xml:space="preserve"> ύψους </w:t>
      </w:r>
      <w:r w:rsidRPr="00EB01D6">
        <w:rPr>
          <w:rFonts w:asciiTheme="minorHAnsi" w:hAnsiTheme="minorHAnsi" w:cstheme="minorHAnsi"/>
          <w:b/>
          <w:bCs/>
          <w:sz w:val="24"/>
          <w:szCs w:val="24"/>
        </w:rPr>
        <w:t>2.098.934,42€ ευρώ</w:t>
      </w:r>
      <w:r w:rsidRPr="00EB01D6">
        <w:rPr>
          <w:rFonts w:asciiTheme="minorHAnsi" w:hAnsiTheme="minorHAnsi" w:cstheme="minorHAnsi"/>
          <w:sz w:val="24"/>
          <w:szCs w:val="24"/>
        </w:rPr>
        <w:t xml:space="preserve">, που αποτελούν ειδική περίπτωση δανείων, αφού η εξυπηρέτηση των </w:t>
      </w:r>
      <w:proofErr w:type="spellStart"/>
      <w:r w:rsidRPr="00EB01D6">
        <w:rPr>
          <w:rFonts w:asciiTheme="minorHAnsi" w:hAnsiTheme="minorHAnsi" w:cstheme="minorHAnsi"/>
          <w:sz w:val="24"/>
          <w:szCs w:val="24"/>
        </w:rPr>
        <w:t>τοκοχρεωλυσίων</w:t>
      </w:r>
      <w:proofErr w:type="spellEnd"/>
      <w:r w:rsidRPr="00EB01D6">
        <w:rPr>
          <w:rFonts w:asciiTheme="minorHAnsi" w:hAnsiTheme="minorHAnsi" w:cstheme="minorHAnsi"/>
          <w:sz w:val="24"/>
          <w:szCs w:val="24"/>
        </w:rPr>
        <w:t xml:space="preserve"> θα γίνεται από το Υπ. Εσωτερικών. Μέχρι 30/9/2025 </w:t>
      </w:r>
      <w:r w:rsidRPr="00EB01D6">
        <w:rPr>
          <w:rFonts w:asciiTheme="minorHAnsi" w:hAnsiTheme="minorHAnsi" w:cstheme="minorHAnsi"/>
          <w:b/>
          <w:bCs/>
          <w:sz w:val="24"/>
          <w:szCs w:val="24"/>
          <w:u w:val="single"/>
        </w:rPr>
        <w:t>εκταμιεύτηκαν 479.607,89€</w:t>
      </w:r>
      <w:r w:rsidRPr="00EB01D6">
        <w:rPr>
          <w:rFonts w:asciiTheme="minorHAnsi" w:hAnsiTheme="minorHAnsi" w:cstheme="minorHAnsi"/>
          <w:sz w:val="24"/>
          <w:szCs w:val="24"/>
        </w:rPr>
        <w:t xml:space="preserve"> , εκ των οποίων 221.700€ αφορά τις «Υποδομές ηλεκτροκίνησης…» και 229.639,47€  για την «Ανάδειξη ιστορικού χώρου Αγ. Παρασκευής και οδού πρόσβασης (</w:t>
      </w:r>
      <w:proofErr w:type="spellStart"/>
      <w:r w:rsidRPr="00EB01D6">
        <w:rPr>
          <w:rFonts w:asciiTheme="minorHAnsi" w:hAnsiTheme="minorHAnsi" w:cstheme="minorHAnsi"/>
          <w:sz w:val="24"/>
          <w:szCs w:val="24"/>
        </w:rPr>
        <w:t>Γιαννούτσου</w:t>
      </w:r>
      <w:proofErr w:type="spellEnd"/>
      <w:r w:rsidRPr="00EB01D6">
        <w:rPr>
          <w:rFonts w:asciiTheme="minorHAnsi" w:hAnsiTheme="minorHAnsi" w:cstheme="minorHAnsi"/>
          <w:sz w:val="24"/>
          <w:szCs w:val="24"/>
        </w:rPr>
        <w:t xml:space="preserve">)». Η υλοποίηση του </w:t>
      </w:r>
      <w:proofErr w:type="spellStart"/>
      <w:r w:rsidRPr="00EB01D6">
        <w:rPr>
          <w:rFonts w:asciiTheme="minorHAnsi" w:hAnsiTheme="minorHAnsi" w:cstheme="minorHAnsi"/>
          <w:sz w:val="24"/>
          <w:szCs w:val="24"/>
        </w:rPr>
        <w:t>προυπολογισμού</w:t>
      </w:r>
      <w:proofErr w:type="spellEnd"/>
      <w:r w:rsidRPr="00EB01D6">
        <w:rPr>
          <w:rFonts w:asciiTheme="minorHAnsi" w:hAnsiTheme="minorHAnsi" w:cstheme="minorHAnsi"/>
          <w:sz w:val="24"/>
          <w:szCs w:val="24"/>
        </w:rPr>
        <w:t xml:space="preserve"> θα εξαρτηθεί από την πρόοδο των χρηματοδοτούμενων δράσεων </w:t>
      </w:r>
      <w:r>
        <w:rPr>
          <w:rFonts w:asciiTheme="minorHAnsi" w:hAnsiTheme="minorHAnsi" w:cstheme="minorHAnsi"/>
          <w:sz w:val="24"/>
          <w:szCs w:val="24"/>
        </w:rPr>
        <w:t>.</w:t>
      </w:r>
    </w:p>
    <w:p w:rsidR="006760EA" w:rsidRDefault="006760EA" w:rsidP="006760EA">
      <w:pPr>
        <w:spacing w:before="120" w:after="120" w:line="360" w:lineRule="auto"/>
        <w:jc w:val="both"/>
        <w:rPr>
          <w:rFonts w:asciiTheme="minorHAnsi" w:hAnsiTheme="minorHAnsi" w:cstheme="minorHAnsi"/>
          <w:b/>
          <w:sz w:val="24"/>
          <w:szCs w:val="24"/>
        </w:rPr>
      </w:pPr>
      <w:r w:rsidRPr="00880050">
        <w:rPr>
          <w:rFonts w:asciiTheme="minorHAnsi" w:hAnsiTheme="minorHAnsi" w:cstheme="minorHAnsi"/>
          <w:b/>
          <w:sz w:val="24"/>
          <w:szCs w:val="24"/>
        </w:rPr>
        <w:t>2.Εκτέλεση προϋπολογισμού εξόδων</w:t>
      </w:r>
    </w:p>
    <w:p w:rsidR="006760EA" w:rsidRPr="0076534C" w:rsidRDefault="006760EA" w:rsidP="006760EA">
      <w:pPr>
        <w:pStyle w:val="a8"/>
        <w:spacing w:before="240" w:after="240" w:line="360" w:lineRule="auto"/>
        <w:ind w:left="0"/>
        <w:contextualSpacing w:val="0"/>
        <w:jc w:val="both"/>
        <w:rPr>
          <w:rFonts w:asciiTheme="minorHAnsi" w:hAnsiTheme="minorHAnsi" w:cstheme="minorHAnsi"/>
          <w:b/>
          <w:sz w:val="24"/>
          <w:szCs w:val="24"/>
        </w:rPr>
      </w:pPr>
      <w:r w:rsidRPr="0076534C">
        <w:rPr>
          <w:rFonts w:asciiTheme="minorHAnsi" w:hAnsiTheme="minorHAnsi" w:cstheme="minorHAnsi"/>
          <w:b/>
          <w:sz w:val="24"/>
          <w:szCs w:val="24"/>
        </w:rPr>
        <w:t>Α. ΕΞΟΔΑ ΧΡΗΣΗΣ</w:t>
      </w:r>
    </w:p>
    <w:p w:rsidR="006760EA" w:rsidRPr="00880050" w:rsidRDefault="006760EA" w:rsidP="006760EA">
      <w:pPr>
        <w:pStyle w:val="a8"/>
        <w:spacing w:before="240" w:after="240" w:line="360" w:lineRule="auto"/>
        <w:ind w:left="0"/>
        <w:contextualSpacing w:val="0"/>
        <w:jc w:val="both"/>
        <w:rPr>
          <w:rFonts w:asciiTheme="minorHAnsi" w:hAnsiTheme="minorHAnsi" w:cstheme="minorHAnsi"/>
          <w:sz w:val="24"/>
          <w:szCs w:val="24"/>
        </w:rPr>
      </w:pPr>
      <w:r w:rsidRPr="00880050">
        <w:rPr>
          <w:rFonts w:asciiTheme="minorHAnsi" w:hAnsiTheme="minorHAnsi" w:cstheme="minorHAnsi"/>
          <w:sz w:val="24"/>
          <w:szCs w:val="24"/>
        </w:rPr>
        <w:t xml:space="preserve">Μέχρι 30/9/2025 ο </w:t>
      </w:r>
      <w:proofErr w:type="spellStart"/>
      <w:r w:rsidRPr="00880050">
        <w:rPr>
          <w:rFonts w:asciiTheme="minorHAnsi" w:hAnsiTheme="minorHAnsi" w:cstheme="minorHAnsi"/>
          <w:sz w:val="24"/>
          <w:szCs w:val="24"/>
        </w:rPr>
        <w:t>προυπολογισμός</w:t>
      </w:r>
      <w:proofErr w:type="spellEnd"/>
      <w:r w:rsidRPr="00880050">
        <w:rPr>
          <w:rFonts w:asciiTheme="minorHAnsi" w:hAnsiTheme="minorHAnsi" w:cstheme="minorHAnsi"/>
          <w:sz w:val="24"/>
          <w:szCs w:val="24"/>
        </w:rPr>
        <w:t xml:space="preserve"> διαμορφώθηκε στα 16.109.528,54€,  </w:t>
      </w:r>
      <w:r w:rsidRPr="00880050">
        <w:rPr>
          <w:rFonts w:asciiTheme="minorHAnsi" w:hAnsiTheme="minorHAnsi" w:cstheme="minorHAnsi"/>
          <w:sz w:val="24"/>
          <w:szCs w:val="24"/>
          <w:u w:val="single"/>
        </w:rPr>
        <w:t>τιμολογήθηκαν δαπάνες 9.739.933,12€</w:t>
      </w:r>
      <w:r w:rsidRPr="00880050">
        <w:rPr>
          <w:rFonts w:asciiTheme="minorHAnsi" w:hAnsiTheme="minorHAnsi" w:cstheme="minorHAnsi"/>
          <w:sz w:val="24"/>
          <w:szCs w:val="24"/>
        </w:rPr>
        <w:t xml:space="preserve"> (60,46%) και </w:t>
      </w:r>
      <w:r w:rsidRPr="00880050">
        <w:rPr>
          <w:rFonts w:asciiTheme="minorHAnsi" w:hAnsiTheme="minorHAnsi" w:cstheme="minorHAnsi"/>
          <w:sz w:val="24"/>
          <w:szCs w:val="24"/>
          <w:u w:val="single"/>
        </w:rPr>
        <w:t>πληρώθηκαν 9.166.083,04€</w:t>
      </w:r>
      <w:r w:rsidRPr="00880050">
        <w:rPr>
          <w:rFonts w:asciiTheme="minorHAnsi" w:hAnsiTheme="minorHAnsi" w:cstheme="minorHAnsi"/>
          <w:sz w:val="24"/>
          <w:szCs w:val="24"/>
        </w:rPr>
        <w:t xml:space="preserve">  (56.90%), οι  πληρωμές δε είναι αυξημένες κατά  1.088.096,57€ (+ 13,47%) σε σχέση με το αντίστοιχο διάστημα του 2024.</w:t>
      </w:r>
    </w:p>
    <w:p w:rsidR="006760EA" w:rsidRPr="00880050" w:rsidRDefault="006760EA" w:rsidP="006760EA">
      <w:pPr>
        <w:spacing w:before="120" w:after="120" w:line="360" w:lineRule="auto"/>
        <w:jc w:val="both"/>
        <w:rPr>
          <w:rFonts w:asciiTheme="minorHAnsi" w:hAnsiTheme="minorHAnsi" w:cstheme="minorHAnsi"/>
          <w:sz w:val="24"/>
          <w:szCs w:val="24"/>
        </w:rPr>
      </w:pPr>
      <w:r w:rsidRPr="00880050">
        <w:rPr>
          <w:rFonts w:asciiTheme="minorHAnsi" w:hAnsiTheme="minorHAnsi" w:cstheme="minorHAnsi"/>
          <w:sz w:val="24"/>
          <w:szCs w:val="24"/>
        </w:rPr>
        <w:t xml:space="preserve">Τα σημεία που πρέπει να επισημανθούν για την εκτέλεση του </w:t>
      </w:r>
      <w:proofErr w:type="spellStart"/>
      <w:r w:rsidRPr="00880050">
        <w:rPr>
          <w:rFonts w:asciiTheme="minorHAnsi" w:hAnsiTheme="minorHAnsi" w:cstheme="minorHAnsi"/>
          <w:sz w:val="24"/>
          <w:szCs w:val="24"/>
        </w:rPr>
        <w:t>προυπολογισμού</w:t>
      </w:r>
      <w:proofErr w:type="spellEnd"/>
      <w:r w:rsidRPr="00880050">
        <w:rPr>
          <w:rFonts w:asciiTheme="minorHAnsi" w:hAnsiTheme="minorHAnsi" w:cstheme="minorHAnsi"/>
          <w:sz w:val="24"/>
          <w:szCs w:val="24"/>
        </w:rPr>
        <w:t xml:space="preserve"> των εξόδων χρήσης για το 2025 είναι:</w:t>
      </w:r>
    </w:p>
    <w:p w:rsidR="006760EA" w:rsidRPr="00880050" w:rsidRDefault="006760EA" w:rsidP="006760EA">
      <w:pPr>
        <w:pStyle w:val="a8"/>
        <w:numPr>
          <w:ilvl w:val="0"/>
          <w:numId w:val="5"/>
        </w:numPr>
        <w:spacing w:before="120" w:after="240" w:line="360" w:lineRule="auto"/>
        <w:ind w:left="284" w:hanging="284"/>
        <w:jc w:val="both"/>
        <w:rPr>
          <w:rFonts w:asciiTheme="minorHAnsi" w:hAnsiTheme="minorHAnsi" w:cstheme="minorHAnsi"/>
          <w:sz w:val="24"/>
          <w:szCs w:val="24"/>
        </w:rPr>
      </w:pPr>
      <w:r w:rsidRPr="00880050">
        <w:rPr>
          <w:rFonts w:asciiTheme="minorHAnsi" w:hAnsiTheme="minorHAnsi" w:cstheme="minorHAnsi"/>
          <w:sz w:val="24"/>
          <w:szCs w:val="24"/>
        </w:rPr>
        <w:lastRenderedPageBreak/>
        <w:t>Το αυξημένο κόστος για αμοιβές και έξοδα προσωπικού, που οφείλεται στην  αύξηση από 1/4/2025 των βασικών μισθών και από 1/1/2025 του επιδόματος ανθυγιεινής και επικίνδυνης εργασίας</w:t>
      </w:r>
    </w:p>
    <w:p w:rsidR="006760EA" w:rsidRDefault="006760EA" w:rsidP="006760EA">
      <w:pPr>
        <w:pStyle w:val="a8"/>
        <w:numPr>
          <w:ilvl w:val="0"/>
          <w:numId w:val="5"/>
        </w:numPr>
        <w:spacing w:before="120" w:after="240" w:line="360" w:lineRule="auto"/>
        <w:ind w:left="284" w:hanging="284"/>
        <w:jc w:val="both"/>
        <w:rPr>
          <w:rFonts w:asciiTheme="minorHAnsi" w:hAnsiTheme="minorHAnsi" w:cstheme="minorHAnsi"/>
          <w:sz w:val="24"/>
          <w:szCs w:val="24"/>
        </w:rPr>
      </w:pPr>
      <w:r w:rsidRPr="00880050">
        <w:rPr>
          <w:rFonts w:asciiTheme="minorHAnsi" w:hAnsiTheme="minorHAnsi" w:cstheme="minorHAnsi"/>
          <w:sz w:val="24"/>
          <w:szCs w:val="24"/>
        </w:rPr>
        <w:t xml:space="preserve">Το ενεργειακό κόστος παραμένει υψηλό </w:t>
      </w:r>
      <w:r>
        <w:rPr>
          <w:rFonts w:asciiTheme="minorHAnsi" w:hAnsiTheme="minorHAnsi" w:cstheme="minorHAnsi"/>
          <w:sz w:val="24"/>
          <w:szCs w:val="24"/>
        </w:rPr>
        <w:t>.</w:t>
      </w:r>
    </w:p>
    <w:p w:rsidR="006760EA" w:rsidRPr="00880050" w:rsidRDefault="006760EA" w:rsidP="006760EA">
      <w:pPr>
        <w:pStyle w:val="a8"/>
        <w:numPr>
          <w:ilvl w:val="0"/>
          <w:numId w:val="5"/>
        </w:numPr>
        <w:spacing w:before="120" w:after="240" w:line="360" w:lineRule="auto"/>
        <w:ind w:left="284" w:hanging="284"/>
        <w:jc w:val="both"/>
        <w:rPr>
          <w:rFonts w:asciiTheme="minorHAnsi" w:hAnsiTheme="minorHAnsi" w:cstheme="minorHAnsi"/>
          <w:sz w:val="24"/>
          <w:szCs w:val="24"/>
        </w:rPr>
      </w:pPr>
      <w:r w:rsidRPr="00880050">
        <w:rPr>
          <w:rFonts w:asciiTheme="minorHAnsi" w:hAnsiTheme="minorHAnsi" w:cstheme="minorHAnsi"/>
          <w:sz w:val="24"/>
          <w:szCs w:val="24"/>
        </w:rPr>
        <w:t xml:space="preserve">Το 2025,  ο δήμος εξυπηρετεί πάλι τα δάνεια που είχε συνάψει, αφού έληξε η αναστολή πληρωμής των </w:t>
      </w:r>
      <w:proofErr w:type="spellStart"/>
      <w:r w:rsidRPr="00880050">
        <w:rPr>
          <w:rFonts w:asciiTheme="minorHAnsi" w:hAnsiTheme="minorHAnsi" w:cstheme="minorHAnsi"/>
          <w:sz w:val="24"/>
          <w:szCs w:val="24"/>
        </w:rPr>
        <w:t>τοκοχρεωλυσίων</w:t>
      </w:r>
      <w:proofErr w:type="spellEnd"/>
      <w:r w:rsidRPr="00880050">
        <w:rPr>
          <w:rFonts w:asciiTheme="minorHAnsi" w:hAnsiTheme="minorHAnsi" w:cstheme="minorHAnsi"/>
          <w:sz w:val="24"/>
          <w:szCs w:val="24"/>
        </w:rPr>
        <w:t xml:space="preserve">, και μέχρι 30/9/2025 έχει πληρώσει </w:t>
      </w:r>
      <w:proofErr w:type="spellStart"/>
      <w:r w:rsidRPr="00880050">
        <w:rPr>
          <w:rFonts w:asciiTheme="minorHAnsi" w:hAnsiTheme="minorHAnsi" w:cstheme="minorHAnsi"/>
          <w:sz w:val="24"/>
          <w:szCs w:val="24"/>
        </w:rPr>
        <w:t>τοκοχρεωλύσια</w:t>
      </w:r>
      <w:proofErr w:type="spellEnd"/>
      <w:r w:rsidRPr="00880050">
        <w:rPr>
          <w:rFonts w:asciiTheme="minorHAnsi" w:hAnsiTheme="minorHAnsi" w:cstheme="minorHAnsi"/>
          <w:sz w:val="24"/>
          <w:szCs w:val="24"/>
        </w:rPr>
        <w:t xml:space="preserve"> </w:t>
      </w:r>
      <w:r w:rsidRPr="00880050">
        <w:rPr>
          <w:rFonts w:asciiTheme="minorHAnsi" w:hAnsiTheme="minorHAnsi" w:cstheme="minorHAnsi"/>
          <w:b/>
          <w:bCs/>
          <w:sz w:val="24"/>
          <w:szCs w:val="24"/>
        </w:rPr>
        <w:t>603.844,53€</w:t>
      </w:r>
      <w:r w:rsidRPr="00880050">
        <w:rPr>
          <w:rFonts w:asciiTheme="minorHAnsi" w:hAnsiTheme="minorHAnsi" w:cstheme="minorHAnsi"/>
          <w:sz w:val="24"/>
          <w:szCs w:val="24"/>
        </w:rPr>
        <w:t xml:space="preserve">, που στο τέλος του έτους οι πληρωμές θα ανέλθουν στα </w:t>
      </w:r>
      <w:r w:rsidRPr="00880050">
        <w:rPr>
          <w:rFonts w:asciiTheme="minorHAnsi" w:hAnsiTheme="minorHAnsi" w:cstheme="minorHAnsi"/>
          <w:b/>
          <w:bCs/>
          <w:sz w:val="24"/>
          <w:szCs w:val="24"/>
        </w:rPr>
        <w:t>714.672€.</w:t>
      </w:r>
      <w:r w:rsidRPr="00880050">
        <w:rPr>
          <w:rFonts w:asciiTheme="minorHAnsi" w:hAnsiTheme="minorHAnsi" w:cstheme="minorHAnsi"/>
          <w:sz w:val="24"/>
          <w:szCs w:val="24"/>
        </w:rPr>
        <w:t xml:space="preserve"> </w:t>
      </w:r>
    </w:p>
    <w:p w:rsidR="006760EA" w:rsidRPr="00880050" w:rsidRDefault="006760EA" w:rsidP="006760EA">
      <w:pPr>
        <w:pStyle w:val="a8"/>
        <w:numPr>
          <w:ilvl w:val="0"/>
          <w:numId w:val="5"/>
        </w:numPr>
        <w:spacing w:before="120" w:after="240" w:line="360" w:lineRule="auto"/>
        <w:ind w:left="284" w:hanging="284"/>
        <w:jc w:val="both"/>
        <w:rPr>
          <w:rFonts w:asciiTheme="minorHAnsi" w:hAnsiTheme="minorHAnsi" w:cstheme="minorHAnsi"/>
          <w:sz w:val="24"/>
          <w:szCs w:val="24"/>
        </w:rPr>
      </w:pPr>
      <w:r w:rsidRPr="00880050">
        <w:rPr>
          <w:rFonts w:asciiTheme="minorHAnsi" w:hAnsiTheme="minorHAnsi" w:cstheme="minorHAnsi"/>
          <w:sz w:val="24"/>
          <w:szCs w:val="24"/>
        </w:rPr>
        <w:t xml:space="preserve">Το 2025 ο δήμος θα πληρώσει στην ΔΕΠΟΔΑΛ Α.Ε. </w:t>
      </w:r>
      <w:r w:rsidRPr="00880050">
        <w:rPr>
          <w:rFonts w:asciiTheme="minorHAnsi" w:hAnsiTheme="minorHAnsi" w:cstheme="minorHAnsi"/>
          <w:b/>
          <w:bCs/>
          <w:sz w:val="24"/>
          <w:szCs w:val="24"/>
        </w:rPr>
        <w:t>687.276,38€</w:t>
      </w:r>
      <w:r w:rsidRPr="00880050">
        <w:rPr>
          <w:rFonts w:asciiTheme="minorHAnsi" w:hAnsiTheme="minorHAnsi" w:cstheme="minorHAnsi"/>
          <w:sz w:val="24"/>
          <w:szCs w:val="24"/>
        </w:rPr>
        <w:t xml:space="preserve"> (297.276,38€ ετήσια εισφορά και 390.000€  για το τέλος ταφής απορριμμάτων του Β’ 6μηνου 2024 και Α’ 6μηνου 2025). </w:t>
      </w:r>
      <w:r w:rsidRPr="00880050">
        <w:rPr>
          <w:rFonts w:asciiTheme="minorHAnsi" w:hAnsiTheme="minorHAnsi" w:cstheme="minorHAnsi"/>
          <w:b/>
          <w:bCs/>
          <w:sz w:val="24"/>
          <w:szCs w:val="24"/>
          <w:u w:val="single"/>
        </w:rPr>
        <w:t>Επισημαίνεται</w:t>
      </w:r>
      <w:r w:rsidRPr="00880050">
        <w:rPr>
          <w:rFonts w:asciiTheme="minorHAnsi" w:hAnsiTheme="minorHAnsi" w:cstheme="minorHAnsi"/>
          <w:b/>
          <w:bCs/>
          <w:sz w:val="24"/>
          <w:szCs w:val="24"/>
        </w:rPr>
        <w:t xml:space="preserve"> </w:t>
      </w:r>
      <w:r w:rsidRPr="00880050">
        <w:rPr>
          <w:rFonts w:asciiTheme="minorHAnsi" w:hAnsiTheme="minorHAnsi" w:cstheme="minorHAnsi"/>
          <w:sz w:val="24"/>
          <w:szCs w:val="24"/>
        </w:rPr>
        <w:t xml:space="preserve">ότι στην παρούσα έκθεση (9μηνο 2025)  περιλαμβάνεται η είσπραξη του ποσού </w:t>
      </w:r>
      <w:r w:rsidRPr="00880050">
        <w:rPr>
          <w:rFonts w:asciiTheme="minorHAnsi" w:hAnsiTheme="minorHAnsi" w:cstheme="minorHAnsi"/>
          <w:sz w:val="24"/>
          <w:szCs w:val="24"/>
          <w:u w:val="single"/>
        </w:rPr>
        <w:t>346.302,74€</w:t>
      </w:r>
      <w:r w:rsidRPr="00880050">
        <w:rPr>
          <w:rFonts w:asciiTheme="minorHAnsi" w:hAnsiTheme="minorHAnsi" w:cstheme="minorHAnsi"/>
          <w:sz w:val="24"/>
          <w:szCs w:val="24"/>
        </w:rPr>
        <w:t xml:space="preserve">, ως </w:t>
      </w:r>
      <w:r w:rsidRPr="00880050">
        <w:rPr>
          <w:rFonts w:asciiTheme="minorHAnsi" w:hAnsiTheme="minorHAnsi" w:cstheme="minorHAnsi"/>
          <w:sz w:val="24"/>
          <w:szCs w:val="24"/>
          <w:u w:val="single"/>
        </w:rPr>
        <w:t>έκτακτη κατανομή</w:t>
      </w:r>
      <w:r w:rsidRPr="00880050">
        <w:rPr>
          <w:rFonts w:asciiTheme="minorHAnsi" w:hAnsiTheme="minorHAnsi" w:cstheme="minorHAnsi"/>
          <w:sz w:val="24"/>
          <w:szCs w:val="24"/>
        </w:rPr>
        <w:t xml:space="preserve"> από Κ.Α.Π. για το τέλος ταφής απορριμμάτων που κατέβαλλε ο δήμος για το Β’ 6μηνο του 2023 και το Α’ 6μηνο του 2024 ποσού σύμφωνα με την 32585/12-6-2025 απόφαση του Υπ. Εσωτερικών και </w:t>
      </w:r>
      <w:r w:rsidRPr="00880050">
        <w:rPr>
          <w:rFonts w:asciiTheme="minorHAnsi" w:hAnsiTheme="minorHAnsi" w:cstheme="minorHAnsi"/>
          <w:sz w:val="24"/>
          <w:szCs w:val="24"/>
          <w:u w:val="single"/>
        </w:rPr>
        <w:t>εισπράχθηκε στις 8/7/2025</w:t>
      </w:r>
    </w:p>
    <w:p w:rsidR="006760EA" w:rsidRDefault="006760EA" w:rsidP="006760EA">
      <w:pPr>
        <w:pStyle w:val="a8"/>
        <w:numPr>
          <w:ilvl w:val="0"/>
          <w:numId w:val="5"/>
        </w:numPr>
        <w:spacing w:before="120" w:after="240" w:line="360" w:lineRule="auto"/>
        <w:ind w:left="284" w:hanging="284"/>
        <w:jc w:val="both"/>
        <w:rPr>
          <w:rFonts w:asciiTheme="minorHAnsi" w:hAnsiTheme="minorHAnsi" w:cstheme="minorHAnsi"/>
          <w:sz w:val="24"/>
          <w:szCs w:val="24"/>
        </w:rPr>
      </w:pPr>
      <w:r w:rsidRPr="00880050">
        <w:rPr>
          <w:rFonts w:asciiTheme="minorHAnsi" w:hAnsiTheme="minorHAnsi" w:cstheme="minorHAnsi"/>
          <w:sz w:val="24"/>
          <w:szCs w:val="24"/>
        </w:rPr>
        <w:t xml:space="preserve">Το 2025, στον προϋπολογισμό του Δήμου στον Κ.Α. 67 «Μεταβιβάσεις σε τρίτους», οι πληρωμές είναι σημαντικά μειωμένες γιατί μετά την κατάργηση των σχολικών επιτροπών δεν γίνονται πλέον μεταβιβάσεις σε αυτές και οι δαπάνες επιμερίζονται σε άλλες κατηγορίες κωδικών, και έχουν αυξητική τάση </w:t>
      </w:r>
      <w:r>
        <w:rPr>
          <w:rFonts w:asciiTheme="minorHAnsi" w:hAnsiTheme="minorHAnsi" w:cstheme="minorHAnsi"/>
          <w:sz w:val="24"/>
          <w:szCs w:val="24"/>
        </w:rPr>
        <w:t>.</w:t>
      </w:r>
    </w:p>
    <w:p w:rsidR="006760EA" w:rsidRDefault="006760EA" w:rsidP="006760EA">
      <w:pPr>
        <w:pStyle w:val="a8"/>
        <w:spacing w:before="240" w:after="240" w:line="360" w:lineRule="auto"/>
        <w:ind w:left="0"/>
        <w:contextualSpacing w:val="0"/>
        <w:jc w:val="both"/>
        <w:rPr>
          <w:rFonts w:asciiTheme="minorHAnsi" w:hAnsiTheme="minorHAnsi" w:cstheme="minorHAnsi"/>
          <w:b/>
          <w:sz w:val="24"/>
          <w:szCs w:val="24"/>
        </w:rPr>
      </w:pPr>
    </w:p>
    <w:p w:rsidR="006760EA" w:rsidRPr="0076534C" w:rsidRDefault="006760EA" w:rsidP="006760EA">
      <w:pPr>
        <w:pStyle w:val="a8"/>
        <w:spacing w:before="240" w:after="240" w:line="360" w:lineRule="auto"/>
        <w:ind w:left="0"/>
        <w:contextualSpacing w:val="0"/>
        <w:jc w:val="both"/>
        <w:rPr>
          <w:rFonts w:asciiTheme="minorHAnsi" w:hAnsiTheme="minorHAnsi" w:cstheme="minorHAnsi"/>
          <w:b/>
          <w:sz w:val="24"/>
          <w:szCs w:val="24"/>
        </w:rPr>
      </w:pPr>
      <w:r w:rsidRPr="0076534C">
        <w:rPr>
          <w:rFonts w:asciiTheme="minorHAnsi" w:hAnsiTheme="minorHAnsi" w:cstheme="minorHAnsi"/>
          <w:b/>
          <w:sz w:val="24"/>
          <w:szCs w:val="24"/>
        </w:rPr>
        <w:t>Β.</w:t>
      </w:r>
      <w:bookmarkStart w:id="5" w:name="_Toc211508413"/>
      <w:r w:rsidRPr="0076534C">
        <w:rPr>
          <w:rFonts w:asciiTheme="minorHAnsi" w:hAnsiTheme="minorHAnsi" w:cstheme="minorHAnsi"/>
          <w:b/>
          <w:sz w:val="24"/>
          <w:szCs w:val="24"/>
        </w:rPr>
        <w:t xml:space="preserve">  ΕΠΕΝΔΥΤΙΚΕΣ ΔΑΠΑΝΕΣ</w:t>
      </w:r>
      <w:bookmarkEnd w:id="5"/>
    </w:p>
    <w:p w:rsidR="006760EA" w:rsidRPr="0076534C" w:rsidRDefault="006760EA" w:rsidP="006760EA">
      <w:pPr>
        <w:spacing w:before="120" w:after="120" w:line="360" w:lineRule="auto"/>
        <w:jc w:val="both"/>
        <w:rPr>
          <w:rFonts w:asciiTheme="minorHAnsi" w:hAnsiTheme="minorHAnsi" w:cstheme="minorHAnsi"/>
          <w:sz w:val="24"/>
          <w:szCs w:val="24"/>
        </w:rPr>
      </w:pPr>
      <w:r w:rsidRPr="0076534C">
        <w:rPr>
          <w:rFonts w:asciiTheme="minorHAnsi" w:hAnsiTheme="minorHAnsi" w:cstheme="minorHAnsi"/>
          <w:sz w:val="24"/>
          <w:szCs w:val="24"/>
        </w:rPr>
        <w:t>Μέχρι 30/9/2025 ο προϋπολογισμός των επενδυτικών δαπανών διαμορφώθηκε στα 13.199.855€, τιμολογήθηκαν δαπάνες 3.534.861€ (26,78%) και πληρώθηκαν δαπάνες 2.730.931€ (20,69%).</w:t>
      </w:r>
    </w:p>
    <w:p w:rsidR="006760EA" w:rsidRPr="0076534C" w:rsidRDefault="006760EA" w:rsidP="006760EA">
      <w:pPr>
        <w:spacing w:before="120" w:after="120" w:line="360" w:lineRule="auto"/>
        <w:jc w:val="both"/>
        <w:rPr>
          <w:rFonts w:asciiTheme="minorHAnsi" w:hAnsiTheme="minorHAnsi" w:cstheme="minorHAnsi"/>
          <w:sz w:val="24"/>
          <w:szCs w:val="24"/>
        </w:rPr>
      </w:pPr>
      <w:r w:rsidRPr="0076534C">
        <w:rPr>
          <w:rFonts w:asciiTheme="minorHAnsi" w:hAnsiTheme="minorHAnsi" w:cstheme="minorHAnsi"/>
          <w:sz w:val="24"/>
          <w:szCs w:val="24"/>
        </w:rPr>
        <w:t xml:space="preserve">Οι </w:t>
      </w:r>
      <w:proofErr w:type="spellStart"/>
      <w:r w:rsidRPr="0076534C">
        <w:rPr>
          <w:rFonts w:asciiTheme="minorHAnsi" w:hAnsiTheme="minorHAnsi" w:cstheme="minorHAnsi"/>
          <w:sz w:val="24"/>
          <w:szCs w:val="24"/>
        </w:rPr>
        <w:t>τιμολογηθείσες</w:t>
      </w:r>
      <w:proofErr w:type="spellEnd"/>
      <w:r w:rsidRPr="0076534C">
        <w:rPr>
          <w:rFonts w:asciiTheme="minorHAnsi" w:hAnsiTheme="minorHAnsi" w:cstheme="minorHAnsi"/>
          <w:sz w:val="24"/>
          <w:szCs w:val="24"/>
        </w:rPr>
        <w:t xml:space="preserve"> επενδυτικές δαπάνες ήταν περισσότερες κατά 202.041€ (+6,06%) σε σύγκριση με τις 30/9/2024, και οι πληρωμές περισσότερες κατά 115.405€ (+ 4,41%).  </w:t>
      </w:r>
    </w:p>
    <w:p w:rsidR="006760EA" w:rsidRDefault="006760EA" w:rsidP="006760EA">
      <w:pPr>
        <w:spacing w:before="120" w:after="120" w:line="360" w:lineRule="auto"/>
        <w:jc w:val="both"/>
        <w:rPr>
          <w:rFonts w:asciiTheme="minorHAnsi" w:hAnsiTheme="minorHAnsi" w:cstheme="minorHAnsi"/>
          <w:b/>
          <w:sz w:val="24"/>
          <w:szCs w:val="24"/>
        </w:rPr>
      </w:pPr>
    </w:p>
    <w:p w:rsidR="006760EA" w:rsidRPr="00880050" w:rsidRDefault="006760EA" w:rsidP="006760EA">
      <w:pPr>
        <w:spacing w:before="120" w:after="120" w:line="360" w:lineRule="auto"/>
        <w:jc w:val="both"/>
        <w:rPr>
          <w:rFonts w:asciiTheme="minorHAnsi" w:hAnsiTheme="minorHAnsi" w:cstheme="minorHAnsi"/>
          <w:b/>
          <w:sz w:val="24"/>
          <w:szCs w:val="24"/>
        </w:rPr>
      </w:pPr>
    </w:p>
    <w:p w:rsidR="006760EA" w:rsidRDefault="006760EA" w:rsidP="006760EA">
      <w:pPr>
        <w:spacing w:before="120" w:after="120" w:line="360" w:lineRule="auto"/>
        <w:jc w:val="center"/>
        <w:rPr>
          <w:b/>
        </w:rPr>
      </w:pPr>
    </w:p>
    <w:p w:rsidR="006760EA" w:rsidRDefault="006760EA" w:rsidP="006760EA">
      <w:pPr>
        <w:pStyle w:val="1"/>
        <w:keepNext w:val="0"/>
        <w:pBdr>
          <w:top w:val="single" w:sz="6" w:space="1" w:color="auto"/>
          <w:left w:val="single" w:sz="6" w:space="4" w:color="auto"/>
          <w:bottom w:val="single" w:sz="6" w:space="1" w:color="auto"/>
          <w:right w:val="single" w:sz="6" w:space="4" w:color="auto"/>
        </w:pBdr>
        <w:shd w:val="clear" w:color="auto" w:fill="D9D9D9" w:themeFill="background1" w:themeFillShade="D9"/>
        <w:spacing w:line="360" w:lineRule="auto"/>
      </w:pPr>
      <w:bookmarkStart w:id="6" w:name="_Toc211508414"/>
      <w:r>
        <w:lastRenderedPageBreak/>
        <w:t xml:space="preserve">Υπολογισμός αποκλίσεων </w:t>
      </w:r>
      <w:proofErr w:type="spellStart"/>
      <w:r>
        <w:t>στοχοθεσίας</w:t>
      </w:r>
      <w:proofErr w:type="spellEnd"/>
      <w:r>
        <w:t xml:space="preserve"> (Ο.Π.Δ.) Γ’ 3μηνου 2025</w:t>
      </w:r>
      <w:bookmarkEnd w:id="6"/>
    </w:p>
    <w:p w:rsidR="006760EA" w:rsidRDefault="006760EA" w:rsidP="006760EA">
      <w:pPr>
        <w:spacing w:before="120" w:after="120" w:line="360" w:lineRule="auto"/>
        <w:jc w:val="both"/>
      </w:pPr>
    </w:p>
    <w:p w:rsidR="006760EA" w:rsidRDefault="006760EA" w:rsidP="006760EA">
      <w:pPr>
        <w:spacing w:before="120" w:after="120" w:line="360" w:lineRule="auto"/>
        <w:jc w:val="both"/>
        <w:rPr>
          <w:sz w:val="22"/>
          <w:szCs w:val="22"/>
        </w:rPr>
      </w:pPr>
      <w:r w:rsidRPr="00AA5D4D">
        <w:rPr>
          <w:rFonts w:asciiTheme="minorHAnsi" w:hAnsiTheme="minorHAnsi" w:cstheme="minorHAnsi"/>
          <w:bCs/>
          <w:iCs/>
          <w:sz w:val="24"/>
          <w:szCs w:val="24"/>
        </w:rPr>
        <w:t xml:space="preserve">Οι αποκλίσεις της </w:t>
      </w:r>
      <w:proofErr w:type="spellStart"/>
      <w:r w:rsidRPr="00AA5D4D">
        <w:rPr>
          <w:rFonts w:asciiTheme="minorHAnsi" w:hAnsiTheme="minorHAnsi" w:cstheme="minorHAnsi"/>
          <w:bCs/>
          <w:iCs/>
          <w:sz w:val="24"/>
          <w:szCs w:val="24"/>
        </w:rPr>
        <w:t>στοχοθεσίας</w:t>
      </w:r>
      <w:proofErr w:type="spellEnd"/>
      <w:r w:rsidRPr="00AA5D4D">
        <w:rPr>
          <w:rFonts w:asciiTheme="minorHAnsi" w:hAnsiTheme="minorHAnsi" w:cstheme="minorHAnsi"/>
          <w:bCs/>
          <w:iCs/>
          <w:sz w:val="24"/>
          <w:szCs w:val="24"/>
        </w:rPr>
        <w:t xml:space="preserve"> (ΟΠΔ) του 2025 έχουν υπολογιστεί σύμφωνα με τα αναφερόμενα στην ΚΥΑ 34574/05-07-2018 ( ΦΕΚ 2942 και 3635 B΄) «Καθορισμός </w:t>
      </w:r>
      <w:proofErr w:type="spellStart"/>
      <w:r w:rsidRPr="00AA5D4D">
        <w:rPr>
          <w:rFonts w:asciiTheme="minorHAnsi" w:hAnsiTheme="minorHAnsi" w:cstheme="minorHAnsi"/>
          <w:bCs/>
          <w:iCs/>
          <w:sz w:val="24"/>
          <w:szCs w:val="24"/>
        </w:rPr>
        <w:t>στοχοθεσίας</w:t>
      </w:r>
      <w:proofErr w:type="spellEnd"/>
      <w:r w:rsidRPr="00AA5D4D">
        <w:rPr>
          <w:rFonts w:asciiTheme="minorHAnsi" w:hAnsiTheme="minorHAnsi" w:cstheme="minorHAnsi"/>
          <w:bCs/>
          <w:iCs/>
          <w:sz w:val="24"/>
          <w:szCs w:val="24"/>
        </w:rPr>
        <w:t xml:space="preserve"> οικονομικών αποτελεσμάτων και διαδικασίας παρακολούθησης των προϋπολογισμών των ΟΤΑ και των νομικών προσώπων της Τοπικής Αυτοδιοίκησης από το Παρατηρητήριο Οικονομικής Αυτοτέλειας των ΟΤΑ.» και το 44485/6-8-2018  έγγραφο του Υπ. Εσωτερικών «Οδηγίες για την υποχρεωτική αναμόρφωση των ΟΠΔ 2018 και διευκρινίσεις επί του νέου συστήματος </w:t>
      </w:r>
      <w:proofErr w:type="spellStart"/>
      <w:r w:rsidRPr="00AA5D4D">
        <w:rPr>
          <w:rFonts w:asciiTheme="minorHAnsi" w:hAnsiTheme="minorHAnsi" w:cstheme="minorHAnsi"/>
          <w:bCs/>
          <w:iCs/>
          <w:sz w:val="24"/>
          <w:szCs w:val="24"/>
        </w:rPr>
        <w:t>στοχοθεσίας</w:t>
      </w:r>
      <w:proofErr w:type="spellEnd"/>
      <w:r w:rsidRPr="00AA5D4D">
        <w:rPr>
          <w:rFonts w:asciiTheme="minorHAnsi" w:hAnsiTheme="minorHAnsi" w:cstheme="minorHAnsi"/>
          <w:bCs/>
          <w:iCs/>
          <w:sz w:val="24"/>
          <w:szCs w:val="24"/>
        </w:rPr>
        <w:t xml:space="preserve"> και ελέγχου επίτευξης των οικονομικών στόχων μέσω των ΟΠΔ», </w:t>
      </w:r>
    </w:p>
    <w:p w:rsidR="006760EA" w:rsidRDefault="006760EA" w:rsidP="006760EA">
      <w:pPr>
        <w:autoSpaceDE w:val="0"/>
        <w:autoSpaceDN w:val="0"/>
        <w:adjustRightInd w:val="0"/>
        <w:spacing w:line="360" w:lineRule="auto"/>
        <w:jc w:val="both"/>
        <w:rPr>
          <w:sz w:val="22"/>
          <w:szCs w:val="22"/>
        </w:rPr>
      </w:pPr>
    </w:p>
    <w:p w:rsidR="006760EA" w:rsidRDefault="006760EA" w:rsidP="006760EA">
      <w:pPr>
        <w:pStyle w:val="ab"/>
        <w:jc w:val="center"/>
        <w:rPr>
          <w:b/>
          <w:bCs/>
          <w:i w:val="0"/>
          <w:iCs w:val="0"/>
          <w:color w:val="000000" w:themeColor="text1"/>
          <w:sz w:val="24"/>
          <w:szCs w:val="24"/>
        </w:rPr>
      </w:pPr>
      <w:bookmarkStart w:id="7" w:name="_Toc211508493"/>
      <w:r w:rsidRPr="00120B7E">
        <w:rPr>
          <w:b/>
          <w:bCs/>
          <w:i w:val="0"/>
          <w:iCs w:val="0"/>
          <w:color w:val="000000" w:themeColor="text1"/>
          <w:sz w:val="24"/>
          <w:szCs w:val="24"/>
        </w:rPr>
        <w:t xml:space="preserve">Πίνακας </w:t>
      </w:r>
      <w:r w:rsidR="009314D8" w:rsidRPr="00120B7E">
        <w:rPr>
          <w:b/>
          <w:bCs/>
          <w:i w:val="0"/>
          <w:iCs w:val="0"/>
          <w:color w:val="000000" w:themeColor="text1"/>
          <w:sz w:val="24"/>
          <w:szCs w:val="24"/>
        </w:rPr>
        <w:fldChar w:fldCharType="begin"/>
      </w:r>
      <w:r w:rsidRPr="00120B7E">
        <w:rPr>
          <w:b/>
          <w:bCs/>
          <w:i w:val="0"/>
          <w:iCs w:val="0"/>
          <w:color w:val="000000" w:themeColor="text1"/>
          <w:sz w:val="24"/>
          <w:szCs w:val="24"/>
        </w:rPr>
        <w:instrText xml:space="preserve"> SEQ Πίνακας \* ARABIC </w:instrText>
      </w:r>
      <w:r w:rsidR="009314D8" w:rsidRPr="00120B7E">
        <w:rPr>
          <w:b/>
          <w:bCs/>
          <w:i w:val="0"/>
          <w:iCs w:val="0"/>
          <w:color w:val="000000" w:themeColor="text1"/>
          <w:sz w:val="24"/>
          <w:szCs w:val="24"/>
        </w:rPr>
        <w:fldChar w:fldCharType="separate"/>
      </w:r>
      <w:r w:rsidR="002317CA">
        <w:rPr>
          <w:b/>
          <w:bCs/>
          <w:i w:val="0"/>
          <w:iCs w:val="0"/>
          <w:noProof/>
          <w:color w:val="000000" w:themeColor="text1"/>
          <w:sz w:val="24"/>
          <w:szCs w:val="24"/>
        </w:rPr>
        <w:t>3</w:t>
      </w:r>
      <w:r w:rsidR="009314D8" w:rsidRPr="00120B7E">
        <w:rPr>
          <w:b/>
          <w:bCs/>
          <w:i w:val="0"/>
          <w:iCs w:val="0"/>
          <w:color w:val="000000" w:themeColor="text1"/>
          <w:sz w:val="24"/>
          <w:szCs w:val="24"/>
        </w:rPr>
        <w:fldChar w:fldCharType="end"/>
      </w:r>
      <w:r w:rsidRPr="00120B7E">
        <w:rPr>
          <w:b/>
          <w:bCs/>
          <w:i w:val="0"/>
          <w:iCs w:val="0"/>
          <w:color w:val="000000" w:themeColor="text1"/>
          <w:sz w:val="24"/>
          <w:szCs w:val="24"/>
        </w:rPr>
        <w:t xml:space="preserve">. </w:t>
      </w:r>
      <w:proofErr w:type="spellStart"/>
      <w:r w:rsidRPr="00120B7E">
        <w:rPr>
          <w:b/>
          <w:bCs/>
          <w:i w:val="0"/>
          <w:iCs w:val="0"/>
          <w:color w:val="000000" w:themeColor="text1"/>
          <w:sz w:val="24"/>
          <w:szCs w:val="24"/>
        </w:rPr>
        <w:t>Στοχοθεσία</w:t>
      </w:r>
      <w:proofErr w:type="spellEnd"/>
      <w:r w:rsidRPr="00120B7E">
        <w:rPr>
          <w:b/>
          <w:bCs/>
          <w:i w:val="0"/>
          <w:iCs w:val="0"/>
          <w:color w:val="000000" w:themeColor="text1"/>
          <w:sz w:val="24"/>
          <w:szCs w:val="24"/>
        </w:rPr>
        <w:t xml:space="preserve"> οικονομικών αποτελεσμάτων </w:t>
      </w:r>
      <w:r>
        <w:rPr>
          <w:b/>
          <w:bCs/>
          <w:i w:val="0"/>
          <w:iCs w:val="0"/>
          <w:color w:val="000000" w:themeColor="text1"/>
          <w:sz w:val="24"/>
          <w:szCs w:val="24"/>
        </w:rPr>
        <w:t>Γ</w:t>
      </w:r>
      <w:r w:rsidRPr="00120B7E">
        <w:rPr>
          <w:b/>
          <w:bCs/>
          <w:i w:val="0"/>
          <w:iCs w:val="0"/>
          <w:color w:val="000000" w:themeColor="text1"/>
          <w:sz w:val="24"/>
          <w:szCs w:val="24"/>
        </w:rPr>
        <w:t>’ τριμήνου 2025</w:t>
      </w:r>
      <w:bookmarkEnd w:id="7"/>
    </w:p>
    <w:tbl>
      <w:tblPr>
        <w:tblW w:w="9620" w:type="dxa"/>
        <w:jc w:val="center"/>
        <w:tblLook w:val="04A0"/>
      </w:tblPr>
      <w:tblGrid>
        <w:gridCol w:w="630"/>
        <w:gridCol w:w="3115"/>
        <w:gridCol w:w="1105"/>
        <w:gridCol w:w="936"/>
        <w:gridCol w:w="936"/>
        <w:gridCol w:w="936"/>
        <w:gridCol w:w="936"/>
        <w:gridCol w:w="1026"/>
      </w:tblGrid>
      <w:tr w:rsidR="006760EA" w:rsidRPr="00EB33CB" w:rsidTr="00DC5D7B">
        <w:trPr>
          <w:trHeight w:val="690"/>
          <w:jc w:val="center"/>
        </w:trPr>
        <w:tc>
          <w:tcPr>
            <w:tcW w:w="580"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Γραμ</w:t>
            </w:r>
            <w:proofErr w:type="spellEnd"/>
          </w:p>
        </w:tc>
        <w:tc>
          <w:tcPr>
            <w:tcW w:w="3580" w:type="dxa"/>
            <w:tcBorders>
              <w:top w:val="single" w:sz="4" w:space="0" w:color="auto"/>
              <w:left w:val="nil"/>
              <w:bottom w:val="double" w:sz="6"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ΣΤΟΧΟΘΕΣΙΑ ΕΣΟΔΩΝ</w:t>
            </w:r>
          </w:p>
        </w:tc>
        <w:tc>
          <w:tcPr>
            <w:tcW w:w="980" w:type="dxa"/>
            <w:tcBorders>
              <w:top w:val="single" w:sz="4" w:space="0" w:color="auto"/>
              <w:left w:val="nil"/>
              <w:bottom w:val="double" w:sz="6"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 xml:space="preserve">Τρέχουσα </w:t>
            </w:r>
            <w:proofErr w:type="spellStart"/>
            <w:r w:rsidRPr="00EB33CB">
              <w:rPr>
                <w:b/>
                <w:bCs/>
                <w:color w:val="000000"/>
                <w:sz w:val="18"/>
                <w:szCs w:val="18"/>
                <w:lang w:bidi="he-IL"/>
              </w:rPr>
              <w:t>Στοχοθεσία</w:t>
            </w:r>
            <w:proofErr w:type="spellEnd"/>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Ιούλ</w:t>
            </w:r>
            <w:proofErr w:type="spellEnd"/>
            <w:r w:rsidRPr="00EB33CB">
              <w:rPr>
                <w:b/>
                <w:bCs/>
                <w:color w:val="000000"/>
                <w:sz w:val="18"/>
                <w:szCs w:val="18"/>
                <w:lang w:bidi="he-IL"/>
              </w:rPr>
              <w:t>.</w:t>
            </w:r>
          </w:p>
        </w:tc>
        <w:tc>
          <w:tcPr>
            <w:tcW w:w="84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Αύγ.</w:t>
            </w:r>
          </w:p>
        </w:tc>
        <w:tc>
          <w:tcPr>
            <w:tcW w:w="86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Σεπτ</w:t>
            </w:r>
            <w:proofErr w:type="spellEnd"/>
            <w:r w:rsidRPr="00EB33CB">
              <w:rPr>
                <w:b/>
                <w:bCs/>
                <w:color w:val="000000"/>
                <w:sz w:val="18"/>
                <w:szCs w:val="18"/>
                <w:lang w:bidi="he-IL"/>
              </w:rPr>
              <w:t>.</w:t>
            </w:r>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Γ' τρίμηνο</w:t>
            </w:r>
          </w:p>
        </w:tc>
        <w:tc>
          <w:tcPr>
            <w:tcW w:w="98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9μηνο</w:t>
            </w:r>
          </w:p>
        </w:tc>
      </w:tr>
      <w:tr w:rsidR="006760EA" w:rsidRPr="00EB33CB" w:rsidTr="00DC5D7B">
        <w:trPr>
          <w:trHeight w:val="47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1</w:t>
            </w:r>
          </w:p>
        </w:tc>
        <w:tc>
          <w:tcPr>
            <w:tcW w:w="3580" w:type="dxa"/>
            <w:tcBorders>
              <w:top w:val="nil"/>
              <w:left w:val="nil"/>
              <w:bottom w:val="single" w:sz="4" w:space="0" w:color="auto"/>
              <w:right w:val="single" w:sz="4" w:space="0" w:color="auto"/>
            </w:tcBorders>
            <w:shd w:val="clear" w:color="000000" w:fill="FFFFFF"/>
            <w:vAlign w:val="center"/>
            <w:hideMark/>
          </w:tcPr>
          <w:p w:rsidR="006760EA" w:rsidRPr="00EB33CB" w:rsidRDefault="006760EA" w:rsidP="00DC5D7B">
            <w:pPr>
              <w:rPr>
                <w:color w:val="000000"/>
                <w:sz w:val="18"/>
                <w:szCs w:val="18"/>
                <w:lang w:bidi="he-IL"/>
              </w:rPr>
            </w:pPr>
            <w:r w:rsidRPr="00EB33CB">
              <w:rPr>
                <w:color w:val="000000"/>
                <w:sz w:val="18"/>
                <w:szCs w:val="18"/>
                <w:lang w:bidi="he-IL"/>
              </w:rPr>
              <w:t xml:space="preserve">Επιχορηγήσεις από τακτικό </w:t>
            </w:r>
            <w:proofErr w:type="spellStart"/>
            <w:r w:rsidRPr="00EB33CB">
              <w:rPr>
                <w:color w:val="000000"/>
                <w:sz w:val="18"/>
                <w:szCs w:val="18"/>
                <w:lang w:bidi="he-IL"/>
              </w:rPr>
              <w:t>προυπολογισμό</w:t>
            </w:r>
            <w:proofErr w:type="spellEnd"/>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8.252.247</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650.000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630.000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760.000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2.040.000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6.044.748</w:t>
            </w:r>
          </w:p>
        </w:tc>
      </w:tr>
      <w:tr w:rsidR="006760EA" w:rsidRPr="00EB33CB" w:rsidTr="00DC5D7B">
        <w:trPr>
          <w:trHeight w:val="57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2</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Επιχορηγήσεις από ΠΔΕ και από προγράμματα Ε.Ε.</w:t>
            </w:r>
          </w:p>
        </w:tc>
        <w:tc>
          <w:tcPr>
            <w:tcW w:w="980"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11.507.980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900.000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450.000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1.400.000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2.750.000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4.775.726</w:t>
            </w:r>
          </w:p>
        </w:tc>
      </w:tr>
      <w:tr w:rsidR="006760EA" w:rsidRPr="00EB33CB" w:rsidTr="00DC5D7B">
        <w:trPr>
          <w:trHeight w:val="40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3</w:t>
            </w:r>
            <w:r w:rsidRPr="00EB33CB">
              <w:rPr>
                <w:color w:val="000000"/>
                <w:sz w:val="18"/>
                <w:szCs w:val="18"/>
                <w:vertAlign w:val="superscript"/>
                <w:lang w:bidi="he-IL"/>
              </w:rPr>
              <w:t>α</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proofErr w:type="spellStart"/>
            <w:r w:rsidRPr="00EB33CB">
              <w:rPr>
                <w:color w:val="000000"/>
                <w:sz w:val="18"/>
                <w:szCs w:val="18"/>
                <w:lang w:bidi="he-IL"/>
              </w:rPr>
              <w:t>Ιδια</w:t>
            </w:r>
            <w:proofErr w:type="spellEnd"/>
            <w:r w:rsidRPr="00EB33CB">
              <w:rPr>
                <w:color w:val="000000"/>
                <w:sz w:val="18"/>
                <w:szCs w:val="18"/>
                <w:lang w:bidi="he-IL"/>
              </w:rPr>
              <w:t xml:space="preserve"> </w:t>
            </w:r>
            <w:proofErr w:type="spellStart"/>
            <w:r w:rsidRPr="00EB33CB">
              <w:rPr>
                <w:color w:val="000000"/>
                <w:sz w:val="18"/>
                <w:szCs w:val="18"/>
                <w:lang w:bidi="he-IL"/>
              </w:rPr>
              <w:t>Εσοδα</w:t>
            </w:r>
            <w:proofErr w:type="spellEnd"/>
          </w:p>
        </w:tc>
        <w:tc>
          <w:tcPr>
            <w:tcW w:w="980"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3.709.418</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350.000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250.000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285.000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885.000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2.183.973</w:t>
            </w:r>
          </w:p>
        </w:tc>
      </w:tr>
      <w:tr w:rsidR="006760EA" w:rsidRPr="00EB33CB" w:rsidTr="00DC5D7B">
        <w:trPr>
          <w:trHeight w:val="48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3β</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proofErr w:type="spellStart"/>
            <w:r w:rsidRPr="00EB33CB">
              <w:rPr>
                <w:color w:val="000000"/>
                <w:sz w:val="18"/>
                <w:szCs w:val="18"/>
                <w:lang w:bidi="he-IL"/>
              </w:rPr>
              <w:t>Ιδια</w:t>
            </w:r>
            <w:proofErr w:type="spellEnd"/>
            <w:r w:rsidRPr="00EB33CB">
              <w:rPr>
                <w:color w:val="000000"/>
                <w:sz w:val="18"/>
                <w:szCs w:val="18"/>
                <w:lang w:bidi="he-IL"/>
              </w:rPr>
              <w:t xml:space="preserve"> </w:t>
            </w:r>
            <w:proofErr w:type="spellStart"/>
            <w:r w:rsidRPr="00EB33CB">
              <w:rPr>
                <w:color w:val="000000"/>
                <w:sz w:val="18"/>
                <w:szCs w:val="18"/>
                <w:lang w:bidi="he-IL"/>
              </w:rPr>
              <w:t>Εσοδα</w:t>
            </w:r>
            <w:proofErr w:type="spellEnd"/>
            <w:r w:rsidRPr="00EB33CB">
              <w:rPr>
                <w:color w:val="000000"/>
                <w:sz w:val="18"/>
                <w:szCs w:val="18"/>
                <w:lang w:bidi="he-IL"/>
              </w:rPr>
              <w:t xml:space="preserve"> που βεβαιώνονται και εισπράττονται για πρώτη φορά</w:t>
            </w:r>
          </w:p>
        </w:tc>
        <w:tc>
          <w:tcPr>
            <w:tcW w:w="980"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697.815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1.500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3.500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694.754</w:t>
            </w:r>
          </w:p>
        </w:tc>
      </w:tr>
      <w:tr w:rsidR="006760EA" w:rsidRPr="00EB33CB" w:rsidTr="00DC5D7B">
        <w:trPr>
          <w:trHeight w:val="52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4</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proofErr w:type="spellStart"/>
            <w:r w:rsidRPr="00EB33CB">
              <w:rPr>
                <w:color w:val="000000"/>
                <w:sz w:val="18"/>
                <w:szCs w:val="18"/>
                <w:lang w:bidi="he-IL"/>
              </w:rPr>
              <w:t>Εσοδα</w:t>
            </w:r>
            <w:proofErr w:type="spellEnd"/>
            <w:r w:rsidRPr="00EB33CB">
              <w:rPr>
                <w:color w:val="000000"/>
                <w:sz w:val="18"/>
                <w:szCs w:val="18"/>
                <w:lang w:bidi="he-IL"/>
              </w:rPr>
              <w:t xml:space="preserve"> που προβλέπεται να εισπραχθούν από απαιτήσεις Π.Ο.Ε.</w:t>
            </w:r>
          </w:p>
        </w:tc>
        <w:tc>
          <w:tcPr>
            <w:tcW w:w="980"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543.835</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40.000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40.000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35.000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115.000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419.615</w:t>
            </w:r>
          </w:p>
        </w:tc>
      </w:tr>
      <w:tr w:rsidR="006760EA" w:rsidRPr="00EB33CB" w:rsidTr="00DC5D7B">
        <w:trPr>
          <w:trHeight w:val="40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5</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 xml:space="preserve">Λοιπά </w:t>
            </w:r>
            <w:proofErr w:type="spellStart"/>
            <w:r w:rsidRPr="00EB33CB">
              <w:rPr>
                <w:color w:val="000000"/>
                <w:sz w:val="18"/>
                <w:szCs w:val="18"/>
                <w:lang w:bidi="he-IL"/>
              </w:rPr>
              <w:t>Εσοδα</w:t>
            </w:r>
            <w:proofErr w:type="spellEnd"/>
          </w:p>
        </w:tc>
        <w:tc>
          <w:tcPr>
            <w:tcW w:w="980"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3.886.200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330.000</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260.000</w:t>
            </w:r>
          </w:p>
        </w:tc>
        <w:tc>
          <w:tcPr>
            <w:tcW w:w="86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300.000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890.000</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2.415.570</w:t>
            </w:r>
          </w:p>
        </w:tc>
      </w:tr>
      <w:tr w:rsidR="006760EA" w:rsidRPr="00EB33CB" w:rsidTr="00DC5D7B">
        <w:trPr>
          <w:trHeight w:val="43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Α.1</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ΣΥΝΟΛΟ ΕΣΟΔΩΝ  ΓΡΑΜΜΕΣ 1-5</w:t>
            </w:r>
          </w:p>
        </w:tc>
        <w:tc>
          <w:tcPr>
            <w:tcW w:w="98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28.597.496</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2.271.500</w:t>
            </w:r>
          </w:p>
        </w:tc>
        <w:tc>
          <w:tcPr>
            <w:tcW w:w="84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1.631.000</w:t>
            </w:r>
          </w:p>
        </w:tc>
        <w:tc>
          <w:tcPr>
            <w:tcW w:w="86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2.781.000</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6.683.500</w:t>
            </w:r>
          </w:p>
        </w:tc>
        <w:tc>
          <w:tcPr>
            <w:tcW w:w="98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16.534.387</w:t>
            </w:r>
          </w:p>
        </w:tc>
      </w:tr>
      <w:tr w:rsidR="006760EA" w:rsidRPr="00EB33CB" w:rsidTr="00DC5D7B">
        <w:trPr>
          <w:trHeight w:val="32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6</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 xml:space="preserve">Διαθέσιμα </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6.505.260</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6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8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r w:rsidR="006760EA" w:rsidRPr="00EB33CB" w:rsidTr="00DC5D7B">
        <w:trPr>
          <w:trHeight w:val="36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7</w:t>
            </w:r>
          </w:p>
        </w:tc>
        <w:tc>
          <w:tcPr>
            <w:tcW w:w="3580"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Προσαρμοσμένο Χρηματικό Υπόλοιπο</w:t>
            </w:r>
          </w:p>
        </w:tc>
        <w:tc>
          <w:tcPr>
            <w:tcW w:w="980" w:type="dxa"/>
            <w:tcBorders>
              <w:top w:val="nil"/>
              <w:left w:val="nil"/>
              <w:bottom w:val="single" w:sz="4" w:space="0" w:color="auto"/>
              <w:right w:val="single" w:sz="4" w:space="0" w:color="auto"/>
            </w:tcBorders>
            <w:shd w:val="clear" w:color="000000" w:fill="FFFFFF"/>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6.505.260</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6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8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r w:rsidR="006760EA" w:rsidRPr="00EB33CB" w:rsidTr="00DC5D7B">
        <w:trPr>
          <w:trHeight w:val="520"/>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Α.2</w:t>
            </w:r>
          </w:p>
        </w:tc>
        <w:tc>
          <w:tcPr>
            <w:tcW w:w="3580" w:type="dxa"/>
            <w:tcBorders>
              <w:top w:val="nil"/>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ΣΥΝΟΛΟ ΕΣΟΔΩΝ  ΚΑΙ  ΔΙΑΘΕΣΙΜΩΝ (Σύνολο Γραμμών 1-6)</w:t>
            </w:r>
          </w:p>
        </w:tc>
        <w:tc>
          <w:tcPr>
            <w:tcW w:w="980"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35.102.755</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86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80"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bl>
    <w:p w:rsidR="006760EA" w:rsidRDefault="006760EA" w:rsidP="006760EA"/>
    <w:tbl>
      <w:tblPr>
        <w:tblW w:w="9620" w:type="dxa"/>
        <w:jc w:val="center"/>
        <w:tblLook w:val="04A0"/>
      </w:tblPr>
      <w:tblGrid>
        <w:gridCol w:w="630"/>
        <w:gridCol w:w="3039"/>
        <w:gridCol w:w="1105"/>
        <w:gridCol w:w="951"/>
        <w:gridCol w:w="951"/>
        <w:gridCol w:w="951"/>
        <w:gridCol w:w="951"/>
        <w:gridCol w:w="1042"/>
      </w:tblGrid>
      <w:tr w:rsidR="006760EA" w:rsidRPr="00EB33CB" w:rsidTr="00DC5D7B">
        <w:trPr>
          <w:trHeight w:val="540"/>
          <w:jc w:val="center"/>
        </w:trPr>
        <w:tc>
          <w:tcPr>
            <w:tcW w:w="593"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Γραμ</w:t>
            </w:r>
            <w:proofErr w:type="spellEnd"/>
          </w:p>
        </w:tc>
        <w:tc>
          <w:tcPr>
            <w:tcW w:w="3098" w:type="dxa"/>
            <w:tcBorders>
              <w:top w:val="single" w:sz="4" w:space="0" w:color="auto"/>
              <w:left w:val="nil"/>
              <w:bottom w:val="double" w:sz="6"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ΣΤΟΧΟΘΕΣΙΑ ΕΞΟΔΩΝ</w:t>
            </w:r>
          </w:p>
        </w:tc>
        <w:tc>
          <w:tcPr>
            <w:tcW w:w="1083" w:type="dxa"/>
            <w:tcBorders>
              <w:top w:val="single" w:sz="4" w:space="0" w:color="auto"/>
              <w:left w:val="nil"/>
              <w:bottom w:val="double" w:sz="6"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 xml:space="preserve">Τρέχουσα </w:t>
            </w:r>
            <w:proofErr w:type="spellStart"/>
            <w:r w:rsidRPr="00EB33CB">
              <w:rPr>
                <w:b/>
                <w:bCs/>
                <w:color w:val="000000"/>
                <w:sz w:val="18"/>
                <w:szCs w:val="18"/>
                <w:lang w:bidi="he-IL"/>
              </w:rPr>
              <w:t>Στοχοθεσία</w:t>
            </w:r>
            <w:proofErr w:type="spellEnd"/>
          </w:p>
        </w:tc>
        <w:tc>
          <w:tcPr>
            <w:tcW w:w="951"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Ιούλ</w:t>
            </w:r>
            <w:proofErr w:type="spellEnd"/>
            <w:r w:rsidRPr="00EB33CB">
              <w:rPr>
                <w:b/>
                <w:bCs/>
                <w:color w:val="000000"/>
                <w:sz w:val="18"/>
                <w:szCs w:val="18"/>
                <w:lang w:bidi="he-IL"/>
              </w:rPr>
              <w:t>.</w:t>
            </w:r>
          </w:p>
        </w:tc>
        <w:tc>
          <w:tcPr>
            <w:tcW w:w="951"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Αύγ.</w:t>
            </w:r>
          </w:p>
        </w:tc>
        <w:tc>
          <w:tcPr>
            <w:tcW w:w="951"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proofErr w:type="spellStart"/>
            <w:r w:rsidRPr="00EB33CB">
              <w:rPr>
                <w:b/>
                <w:bCs/>
                <w:color w:val="000000"/>
                <w:sz w:val="18"/>
                <w:szCs w:val="18"/>
                <w:lang w:bidi="he-IL"/>
              </w:rPr>
              <w:t>Σεπτ</w:t>
            </w:r>
            <w:proofErr w:type="spellEnd"/>
            <w:r w:rsidRPr="00EB33CB">
              <w:rPr>
                <w:b/>
                <w:bCs/>
                <w:color w:val="000000"/>
                <w:sz w:val="18"/>
                <w:szCs w:val="18"/>
                <w:lang w:bidi="he-IL"/>
              </w:rPr>
              <w:t>.</w:t>
            </w:r>
          </w:p>
        </w:tc>
        <w:tc>
          <w:tcPr>
            <w:tcW w:w="951"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Γ' τρίμηνο</w:t>
            </w:r>
          </w:p>
        </w:tc>
        <w:tc>
          <w:tcPr>
            <w:tcW w:w="1042"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9μηνο</w:t>
            </w:r>
          </w:p>
        </w:tc>
      </w:tr>
      <w:tr w:rsidR="006760EA" w:rsidRPr="00EB33CB" w:rsidTr="00DC5D7B">
        <w:trPr>
          <w:trHeight w:val="38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1</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Κόστος προσωπικού</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7.585.798</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650.000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610.000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620.000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1.880.000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5.265.719</w:t>
            </w:r>
          </w:p>
        </w:tc>
      </w:tr>
      <w:tr w:rsidR="006760EA" w:rsidRPr="00EB33CB" w:rsidTr="00DC5D7B">
        <w:trPr>
          <w:trHeight w:val="37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2</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Λοιπά έξοδα χρήσης</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7.956.191</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500.000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320.000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520.000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1.340.000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3.520.774</w:t>
            </w:r>
          </w:p>
        </w:tc>
      </w:tr>
      <w:tr w:rsidR="006760EA" w:rsidRPr="00EB33CB" w:rsidTr="00DC5D7B">
        <w:trPr>
          <w:trHeight w:val="35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3</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Δαπάνες για επενδύσεις</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15.078.396</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500.000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200.000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550.000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1.250.000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4.766.738</w:t>
            </w:r>
          </w:p>
        </w:tc>
      </w:tr>
      <w:tr w:rsidR="006760EA" w:rsidRPr="00EB33CB" w:rsidTr="00DC5D7B">
        <w:trPr>
          <w:trHeight w:val="36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4</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Πληρωμές Π.Ο.Ε.</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603.721</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25.000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25.000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70.000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573.452</w:t>
            </w:r>
          </w:p>
        </w:tc>
      </w:tr>
      <w:tr w:rsidR="006760EA" w:rsidRPr="00EB33CB" w:rsidTr="00DC5D7B">
        <w:trPr>
          <w:trHeight w:val="29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color w:val="000000"/>
                <w:sz w:val="18"/>
                <w:szCs w:val="18"/>
                <w:lang w:bidi="he-IL"/>
              </w:rPr>
            </w:pPr>
            <w:r w:rsidRPr="00EB33CB">
              <w:rPr>
                <w:color w:val="000000"/>
                <w:sz w:val="18"/>
                <w:szCs w:val="18"/>
                <w:lang w:bidi="he-IL"/>
              </w:rPr>
              <w:t>5</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Αποδόσεις εσόδων υπέρ Δημοσίου και τρίτων</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3.658.210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420.000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280.000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290.000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990.000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2.712.296</w:t>
            </w:r>
          </w:p>
        </w:tc>
      </w:tr>
      <w:tr w:rsidR="006760EA" w:rsidRPr="00EB33CB" w:rsidTr="00DC5D7B">
        <w:trPr>
          <w:trHeight w:val="420"/>
          <w:jc w:val="center"/>
        </w:trPr>
        <w:tc>
          <w:tcPr>
            <w:tcW w:w="593" w:type="dxa"/>
            <w:tcBorders>
              <w:top w:val="nil"/>
              <w:left w:val="single" w:sz="4" w:space="0" w:color="auto"/>
              <w:bottom w:val="single" w:sz="4"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lastRenderedPageBreak/>
              <w:t>Β.1</w:t>
            </w:r>
          </w:p>
        </w:tc>
        <w:tc>
          <w:tcPr>
            <w:tcW w:w="3098" w:type="dxa"/>
            <w:tcBorders>
              <w:top w:val="nil"/>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ΣΥΝΟΛΟ ΕΞΟΔΩΝ (Γραμμές 1-5)</w:t>
            </w:r>
          </w:p>
        </w:tc>
        <w:tc>
          <w:tcPr>
            <w:tcW w:w="1083"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34.882.316</w:t>
            </w:r>
          </w:p>
        </w:tc>
        <w:tc>
          <w:tcPr>
            <w:tcW w:w="951"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2.095.000</w:t>
            </w:r>
          </w:p>
        </w:tc>
        <w:tc>
          <w:tcPr>
            <w:tcW w:w="951"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1.430.000</w:t>
            </w:r>
          </w:p>
        </w:tc>
        <w:tc>
          <w:tcPr>
            <w:tcW w:w="951"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2.005.000</w:t>
            </w:r>
          </w:p>
        </w:tc>
        <w:tc>
          <w:tcPr>
            <w:tcW w:w="951"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5.530.000</w:t>
            </w:r>
          </w:p>
        </w:tc>
        <w:tc>
          <w:tcPr>
            <w:tcW w:w="1042"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16.838.979</w:t>
            </w:r>
          </w:p>
        </w:tc>
      </w:tr>
      <w:tr w:rsidR="006760EA" w:rsidRPr="00EB33CB" w:rsidTr="00DC5D7B">
        <w:trPr>
          <w:trHeight w:val="310"/>
          <w:jc w:val="center"/>
        </w:trPr>
        <w:tc>
          <w:tcPr>
            <w:tcW w:w="593"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6</w:t>
            </w:r>
          </w:p>
        </w:tc>
        <w:tc>
          <w:tcPr>
            <w:tcW w:w="3098" w:type="dxa"/>
            <w:tcBorders>
              <w:top w:val="nil"/>
              <w:left w:val="nil"/>
              <w:bottom w:val="single" w:sz="4" w:space="0" w:color="auto"/>
              <w:right w:val="single" w:sz="4" w:space="0" w:color="auto"/>
            </w:tcBorders>
            <w:vAlign w:val="center"/>
            <w:hideMark/>
          </w:tcPr>
          <w:p w:rsidR="006760EA" w:rsidRPr="00EB33CB" w:rsidRDefault="006760EA" w:rsidP="00DC5D7B">
            <w:pPr>
              <w:rPr>
                <w:color w:val="000000"/>
                <w:sz w:val="18"/>
                <w:szCs w:val="18"/>
                <w:lang w:bidi="he-IL"/>
              </w:rPr>
            </w:pPr>
            <w:r w:rsidRPr="00EB33CB">
              <w:rPr>
                <w:color w:val="000000"/>
                <w:sz w:val="18"/>
                <w:szCs w:val="18"/>
                <w:lang w:bidi="he-IL"/>
              </w:rPr>
              <w:t>Αποθεματικό</w:t>
            </w:r>
          </w:p>
        </w:tc>
        <w:tc>
          <w:tcPr>
            <w:tcW w:w="1083"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220.439</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1042"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r w:rsidR="006760EA" w:rsidRPr="00EB33CB" w:rsidTr="00DC5D7B">
        <w:trPr>
          <w:trHeight w:val="560"/>
          <w:jc w:val="center"/>
        </w:trPr>
        <w:tc>
          <w:tcPr>
            <w:tcW w:w="593" w:type="dxa"/>
            <w:tcBorders>
              <w:top w:val="nil"/>
              <w:left w:val="single" w:sz="4" w:space="0" w:color="auto"/>
              <w:bottom w:val="single" w:sz="4" w:space="0" w:color="auto"/>
              <w:right w:val="single" w:sz="4" w:space="0" w:color="auto"/>
            </w:tcBorders>
            <w:shd w:val="clear" w:color="000000" w:fill="D9D9D9"/>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Β.2</w:t>
            </w:r>
          </w:p>
        </w:tc>
        <w:tc>
          <w:tcPr>
            <w:tcW w:w="3098" w:type="dxa"/>
            <w:tcBorders>
              <w:top w:val="nil"/>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ΣΥΝΟΛΟ ΕΞΟΔΩΝ ΜΕ ΑΠΟΘΕΜΑΤΙΚΟ (Γραμμές 1-6)</w:t>
            </w:r>
          </w:p>
        </w:tc>
        <w:tc>
          <w:tcPr>
            <w:tcW w:w="1083" w:type="dxa"/>
            <w:tcBorders>
              <w:top w:val="nil"/>
              <w:left w:val="nil"/>
              <w:bottom w:val="single" w:sz="4" w:space="0" w:color="auto"/>
              <w:right w:val="single" w:sz="4" w:space="0" w:color="auto"/>
            </w:tcBorders>
            <w:shd w:val="clear" w:color="000000" w:fill="D9D9D9"/>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35.102.755</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1042"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r w:rsidR="006760EA" w:rsidRPr="00EB33CB" w:rsidTr="00DC5D7B">
        <w:trPr>
          <w:trHeight w:val="550"/>
          <w:jc w:val="center"/>
        </w:trPr>
        <w:tc>
          <w:tcPr>
            <w:tcW w:w="59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Γ.1</w:t>
            </w:r>
          </w:p>
        </w:tc>
        <w:tc>
          <w:tcPr>
            <w:tcW w:w="3098" w:type="dxa"/>
            <w:tcBorders>
              <w:top w:val="single" w:sz="4" w:space="0" w:color="auto"/>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proofErr w:type="spellStart"/>
            <w:r w:rsidRPr="00EB33CB">
              <w:rPr>
                <w:b/>
                <w:bCs/>
                <w:color w:val="000000"/>
                <w:sz w:val="18"/>
                <w:szCs w:val="18"/>
                <w:lang w:bidi="he-IL"/>
              </w:rPr>
              <w:t>Υψος</w:t>
            </w:r>
            <w:proofErr w:type="spellEnd"/>
            <w:r w:rsidRPr="00EB33CB">
              <w:rPr>
                <w:b/>
                <w:bCs/>
                <w:color w:val="000000"/>
                <w:sz w:val="18"/>
                <w:szCs w:val="18"/>
                <w:lang w:bidi="he-IL"/>
              </w:rPr>
              <w:t xml:space="preserve"> απλήρωτων υποχρεώσεων κατά την 31/12 προηγούμενου οικ. έτους</w:t>
            </w:r>
          </w:p>
        </w:tc>
        <w:tc>
          <w:tcPr>
            <w:tcW w:w="1083" w:type="dxa"/>
            <w:tcBorders>
              <w:top w:val="single" w:sz="4" w:space="0" w:color="auto"/>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2.929.588</w:t>
            </w:r>
          </w:p>
        </w:tc>
        <w:tc>
          <w:tcPr>
            <w:tcW w:w="951"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1042"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r>
      <w:tr w:rsidR="006760EA" w:rsidRPr="00EB33CB" w:rsidTr="00DC5D7B">
        <w:trPr>
          <w:trHeight w:val="510"/>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Γ.2</w:t>
            </w:r>
          </w:p>
        </w:tc>
        <w:tc>
          <w:tcPr>
            <w:tcW w:w="3098" w:type="dxa"/>
            <w:tcBorders>
              <w:top w:val="nil"/>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xml:space="preserve">Μηνιαίοι Στόχοι απλήρωτων υποχρεώσεων έτους </w:t>
            </w:r>
            <w:proofErr w:type="spellStart"/>
            <w:r w:rsidRPr="00EB33CB">
              <w:rPr>
                <w:b/>
                <w:bCs/>
                <w:color w:val="000000"/>
                <w:sz w:val="18"/>
                <w:szCs w:val="18"/>
                <w:lang w:bidi="he-IL"/>
              </w:rPr>
              <w:t>στοχοθεσίας</w:t>
            </w:r>
            <w:proofErr w:type="spellEnd"/>
          </w:p>
        </w:tc>
        <w:tc>
          <w:tcPr>
            <w:tcW w:w="1083"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1.300.000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1.050.000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sz w:val="18"/>
                <w:szCs w:val="18"/>
                <w:lang w:bidi="he-IL"/>
              </w:rPr>
            </w:pPr>
            <w:r w:rsidRPr="00EB33CB">
              <w:rPr>
                <w:sz w:val="18"/>
                <w:szCs w:val="18"/>
                <w:lang w:bidi="he-IL"/>
              </w:rPr>
              <w:t>890.000</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890.000</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890.000</w:t>
            </w:r>
          </w:p>
        </w:tc>
      </w:tr>
      <w:tr w:rsidR="006760EA" w:rsidRPr="00EB33CB" w:rsidTr="00DC5D7B">
        <w:trPr>
          <w:trHeight w:val="400"/>
          <w:jc w:val="center"/>
        </w:trPr>
        <w:tc>
          <w:tcPr>
            <w:tcW w:w="593" w:type="dxa"/>
            <w:tcBorders>
              <w:top w:val="nil"/>
              <w:left w:val="single" w:sz="4" w:space="0" w:color="auto"/>
              <w:bottom w:val="single" w:sz="4" w:space="0" w:color="auto"/>
              <w:right w:val="single" w:sz="4" w:space="0" w:color="auto"/>
            </w:tcBorders>
            <w:shd w:val="clear" w:color="000000" w:fill="D9D9D9"/>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Δ</w:t>
            </w:r>
          </w:p>
        </w:tc>
        <w:tc>
          <w:tcPr>
            <w:tcW w:w="3098" w:type="dxa"/>
            <w:tcBorders>
              <w:top w:val="nil"/>
              <w:left w:val="nil"/>
              <w:bottom w:val="single" w:sz="4" w:space="0" w:color="auto"/>
              <w:right w:val="single" w:sz="4" w:space="0" w:color="auto"/>
            </w:tcBorders>
            <w:shd w:val="clear" w:color="000000" w:fill="D9D9D9"/>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Ταμειακό Αποτέλεσμα ΟΠΔ (Στόχος)</w:t>
            </w:r>
          </w:p>
        </w:tc>
        <w:tc>
          <w:tcPr>
            <w:tcW w:w="1083"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single" w:sz="4" w:space="0" w:color="auto"/>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5.223.668</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5.424.668</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6.200.668</w:t>
            </w:r>
          </w:p>
        </w:tc>
        <w:tc>
          <w:tcPr>
            <w:tcW w:w="951"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6.200.668</w:t>
            </w:r>
          </w:p>
        </w:tc>
        <w:tc>
          <w:tcPr>
            <w:tcW w:w="1042" w:type="dxa"/>
            <w:tcBorders>
              <w:top w:val="nil"/>
              <w:left w:val="nil"/>
              <w:bottom w:val="single" w:sz="4" w:space="0" w:color="auto"/>
              <w:right w:val="single" w:sz="4" w:space="0" w:color="auto"/>
            </w:tcBorders>
            <w:noWrap/>
            <w:vAlign w:val="center"/>
            <w:hideMark/>
          </w:tcPr>
          <w:p w:rsidR="006760EA" w:rsidRPr="00EB33CB" w:rsidRDefault="006760EA" w:rsidP="00DC5D7B">
            <w:pPr>
              <w:jc w:val="right"/>
              <w:rPr>
                <w:color w:val="000000"/>
                <w:sz w:val="18"/>
                <w:szCs w:val="18"/>
                <w:lang w:bidi="he-IL"/>
              </w:rPr>
            </w:pPr>
            <w:r w:rsidRPr="00EB33CB">
              <w:rPr>
                <w:color w:val="000000"/>
                <w:sz w:val="18"/>
                <w:szCs w:val="18"/>
                <w:lang w:bidi="he-IL"/>
              </w:rPr>
              <w:t>6.200.668</w:t>
            </w:r>
          </w:p>
        </w:tc>
      </w:tr>
      <w:tr w:rsidR="006760EA" w:rsidRPr="00EB33CB" w:rsidTr="00DC5D7B">
        <w:trPr>
          <w:trHeight w:val="598"/>
          <w:jc w:val="center"/>
        </w:trPr>
        <w:tc>
          <w:tcPr>
            <w:tcW w:w="593" w:type="dxa"/>
            <w:tcBorders>
              <w:top w:val="nil"/>
              <w:left w:val="single" w:sz="4" w:space="0" w:color="auto"/>
              <w:bottom w:val="single" w:sz="4" w:space="0" w:color="auto"/>
              <w:right w:val="single" w:sz="4" w:space="0" w:color="auto"/>
            </w:tcBorders>
            <w:shd w:val="clear" w:color="000000" w:fill="FABF8F"/>
            <w:noWrap/>
            <w:vAlign w:val="center"/>
            <w:hideMark/>
          </w:tcPr>
          <w:p w:rsidR="006760EA" w:rsidRPr="00EB33CB" w:rsidRDefault="006760EA" w:rsidP="00DC5D7B">
            <w:pPr>
              <w:jc w:val="center"/>
              <w:rPr>
                <w:b/>
                <w:bCs/>
                <w:color w:val="000000"/>
                <w:sz w:val="18"/>
                <w:szCs w:val="18"/>
                <w:lang w:bidi="he-IL"/>
              </w:rPr>
            </w:pPr>
            <w:r w:rsidRPr="00EB33CB">
              <w:rPr>
                <w:b/>
                <w:bCs/>
                <w:color w:val="000000"/>
                <w:sz w:val="18"/>
                <w:szCs w:val="18"/>
                <w:lang w:bidi="he-IL"/>
              </w:rPr>
              <w:t>Ε</w:t>
            </w:r>
          </w:p>
        </w:tc>
        <w:tc>
          <w:tcPr>
            <w:tcW w:w="3098" w:type="dxa"/>
            <w:tcBorders>
              <w:top w:val="nil"/>
              <w:left w:val="nil"/>
              <w:bottom w:val="single" w:sz="4" w:space="0" w:color="auto"/>
              <w:right w:val="single" w:sz="4" w:space="0" w:color="auto"/>
            </w:tcBorders>
            <w:shd w:val="clear" w:color="000000" w:fill="FABF8F"/>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Οικονομικό Αποτέλεσμα ΟΠΔ (Στόχος)</w:t>
            </w:r>
          </w:p>
        </w:tc>
        <w:tc>
          <w:tcPr>
            <w:tcW w:w="1083" w:type="dxa"/>
            <w:tcBorders>
              <w:top w:val="nil"/>
              <w:left w:val="nil"/>
              <w:bottom w:val="single" w:sz="4" w:space="0" w:color="auto"/>
              <w:right w:val="single" w:sz="4" w:space="0" w:color="auto"/>
            </w:tcBorders>
            <w:shd w:val="clear" w:color="000000" w:fill="FCD5B4"/>
            <w:noWrap/>
            <w:vAlign w:val="center"/>
            <w:hideMark/>
          </w:tcPr>
          <w:p w:rsidR="006760EA" w:rsidRPr="00EB33CB" w:rsidRDefault="006760EA" w:rsidP="00DC5D7B">
            <w:pPr>
              <w:rPr>
                <w:b/>
                <w:bCs/>
                <w:color w:val="000000"/>
                <w:sz w:val="18"/>
                <w:szCs w:val="18"/>
                <w:lang w:bidi="he-IL"/>
              </w:rPr>
            </w:pPr>
            <w:r w:rsidRPr="00EB33CB">
              <w:rPr>
                <w:b/>
                <w:bCs/>
                <w:color w:val="000000"/>
                <w:sz w:val="18"/>
                <w:szCs w:val="18"/>
                <w:lang w:bidi="he-IL"/>
              </w:rPr>
              <w:t> </w:t>
            </w:r>
          </w:p>
        </w:tc>
        <w:tc>
          <w:tcPr>
            <w:tcW w:w="951" w:type="dxa"/>
            <w:tcBorders>
              <w:top w:val="nil"/>
              <w:left w:val="single" w:sz="4" w:space="0" w:color="auto"/>
              <w:bottom w:val="single" w:sz="4" w:space="0" w:color="auto"/>
              <w:right w:val="single" w:sz="4" w:space="0" w:color="auto"/>
            </w:tcBorders>
            <w:shd w:val="clear" w:color="000000" w:fill="FABF8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3.923.668</w:t>
            </w:r>
          </w:p>
        </w:tc>
        <w:tc>
          <w:tcPr>
            <w:tcW w:w="951" w:type="dxa"/>
            <w:tcBorders>
              <w:top w:val="nil"/>
              <w:left w:val="nil"/>
              <w:bottom w:val="single" w:sz="4" w:space="0" w:color="auto"/>
              <w:right w:val="single" w:sz="4" w:space="0" w:color="auto"/>
            </w:tcBorders>
            <w:shd w:val="clear" w:color="000000" w:fill="FABF8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4.374.668</w:t>
            </w:r>
          </w:p>
        </w:tc>
        <w:tc>
          <w:tcPr>
            <w:tcW w:w="951" w:type="dxa"/>
            <w:tcBorders>
              <w:top w:val="nil"/>
              <w:left w:val="nil"/>
              <w:bottom w:val="single" w:sz="4" w:space="0" w:color="auto"/>
              <w:right w:val="single" w:sz="4" w:space="0" w:color="auto"/>
            </w:tcBorders>
            <w:shd w:val="clear" w:color="000000" w:fill="FABF8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5.310.668</w:t>
            </w:r>
          </w:p>
        </w:tc>
        <w:tc>
          <w:tcPr>
            <w:tcW w:w="951" w:type="dxa"/>
            <w:tcBorders>
              <w:top w:val="nil"/>
              <w:left w:val="nil"/>
              <w:bottom w:val="single" w:sz="4" w:space="0" w:color="auto"/>
              <w:right w:val="single" w:sz="4" w:space="0" w:color="auto"/>
            </w:tcBorders>
            <w:shd w:val="clear" w:color="000000" w:fill="FABF8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5.310.668</w:t>
            </w:r>
          </w:p>
        </w:tc>
        <w:tc>
          <w:tcPr>
            <w:tcW w:w="1042" w:type="dxa"/>
            <w:tcBorders>
              <w:top w:val="nil"/>
              <w:left w:val="nil"/>
              <w:bottom w:val="single" w:sz="4" w:space="0" w:color="auto"/>
              <w:right w:val="single" w:sz="4" w:space="0" w:color="auto"/>
            </w:tcBorders>
            <w:shd w:val="clear" w:color="000000" w:fill="FABF8F"/>
            <w:noWrap/>
            <w:vAlign w:val="center"/>
            <w:hideMark/>
          </w:tcPr>
          <w:p w:rsidR="006760EA" w:rsidRPr="00EB33CB" w:rsidRDefault="006760EA" w:rsidP="00DC5D7B">
            <w:pPr>
              <w:jc w:val="right"/>
              <w:rPr>
                <w:b/>
                <w:bCs/>
                <w:color w:val="000000"/>
                <w:sz w:val="18"/>
                <w:szCs w:val="18"/>
                <w:lang w:bidi="he-IL"/>
              </w:rPr>
            </w:pPr>
            <w:r w:rsidRPr="00EB33CB">
              <w:rPr>
                <w:b/>
                <w:bCs/>
                <w:color w:val="000000"/>
                <w:sz w:val="18"/>
                <w:szCs w:val="18"/>
                <w:lang w:bidi="he-IL"/>
              </w:rPr>
              <w:t>5.310.668</w:t>
            </w:r>
          </w:p>
        </w:tc>
      </w:tr>
    </w:tbl>
    <w:p w:rsidR="006760EA" w:rsidRDefault="006760EA" w:rsidP="006760EA"/>
    <w:p w:rsidR="006760EA" w:rsidRPr="006C7F26" w:rsidRDefault="006760EA" w:rsidP="006760EA"/>
    <w:p w:rsidR="006760EA" w:rsidRDefault="006760EA" w:rsidP="006760EA">
      <w:pPr>
        <w:pStyle w:val="ab"/>
        <w:jc w:val="center"/>
        <w:rPr>
          <w:b/>
          <w:bCs/>
          <w:i w:val="0"/>
          <w:iCs w:val="0"/>
          <w:color w:val="000000" w:themeColor="text1"/>
          <w:sz w:val="24"/>
          <w:szCs w:val="24"/>
        </w:rPr>
      </w:pPr>
      <w:bookmarkStart w:id="8" w:name="_Toc211508494"/>
      <w:r w:rsidRPr="00120B7E">
        <w:rPr>
          <w:b/>
          <w:bCs/>
          <w:i w:val="0"/>
          <w:iCs w:val="0"/>
          <w:color w:val="000000" w:themeColor="text1"/>
          <w:sz w:val="24"/>
          <w:szCs w:val="24"/>
        </w:rPr>
        <w:t xml:space="preserve">Πίνακας </w:t>
      </w:r>
      <w:r w:rsidR="009314D8" w:rsidRPr="00120B7E">
        <w:rPr>
          <w:b/>
          <w:bCs/>
          <w:i w:val="0"/>
          <w:iCs w:val="0"/>
          <w:color w:val="000000" w:themeColor="text1"/>
          <w:sz w:val="24"/>
          <w:szCs w:val="24"/>
        </w:rPr>
        <w:fldChar w:fldCharType="begin"/>
      </w:r>
      <w:r w:rsidRPr="00120B7E">
        <w:rPr>
          <w:b/>
          <w:bCs/>
          <w:i w:val="0"/>
          <w:iCs w:val="0"/>
          <w:color w:val="000000" w:themeColor="text1"/>
          <w:sz w:val="24"/>
          <w:szCs w:val="24"/>
        </w:rPr>
        <w:instrText xml:space="preserve"> SEQ Πίνακας \* ARABIC </w:instrText>
      </w:r>
      <w:r w:rsidR="009314D8" w:rsidRPr="00120B7E">
        <w:rPr>
          <w:b/>
          <w:bCs/>
          <w:i w:val="0"/>
          <w:iCs w:val="0"/>
          <w:color w:val="000000" w:themeColor="text1"/>
          <w:sz w:val="24"/>
          <w:szCs w:val="24"/>
        </w:rPr>
        <w:fldChar w:fldCharType="separate"/>
      </w:r>
      <w:r w:rsidR="002317CA">
        <w:rPr>
          <w:b/>
          <w:bCs/>
          <w:i w:val="0"/>
          <w:iCs w:val="0"/>
          <w:noProof/>
          <w:color w:val="000000" w:themeColor="text1"/>
          <w:sz w:val="24"/>
          <w:szCs w:val="24"/>
        </w:rPr>
        <w:t>4</w:t>
      </w:r>
      <w:r w:rsidR="009314D8" w:rsidRPr="00120B7E">
        <w:rPr>
          <w:b/>
          <w:bCs/>
          <w:i w:val="0"/>
          <w:iCs w:val="0"/>
          <w:color w:val="000000" w:themeColor="text1"/>
          <w:sz w:val="24"/>
          <w:szCs w:val="24"/>
        </w:rPr>
        <w:fldChar w:fldCharType="end"/>
      </w:r>
      <w:r w:rsidRPr="00120B7E">
        <w:rPr>
          <w:b/>
          <w:bCs/>
          <w:i w:val="0"/>
          <w:iCs w:val="0"/>
          <w:color w:val="000000" w:themeColor="text1"/>
          <w:sz w:val="24"/>
          <w:szCs w:val="24"/>
        </w:rPr>
        <w:t>. Συνοπτική εκτέλεση προϋπολογισμού του δήμου μέχρι 30/</w:t>
      </w:r>
      <w:r>
        <w:rPr>
          <w:b/>
          <w:bCs/>
          <w:i w:val="0"/>
          <w:iCs w:val="0"/>
          <w:color w:val="000000" w:themeColor="text1"/>
          <w:sz w:val="24"/>
          <w:szCs w:val="24"/>
        </w:rPr>
        <w:t>9</w:t>
      </w:r>
      <w:r w:rsidRPr="00120B7E">
        <w:rPr>
          <w:b/>
          <w:bCs/>
          <w:i w:val="0"/>
          <w:iCs w:val="0"/>
          <w:color w:val="000000" w:themeColor="text1"/>
          <w:sz w:val="24"/>
          <w:szCs w:val="24"/>
        </w:rPr>
        <w:t>/2025</w:t>
      </w:r>
      <w:bookmarkEnd w:id="8"/>
    </w:p>
    <w:tbl>
      <w:tblPr>
        <w:tblW w:w="9580" w:type="dxa"/>
        <w:jc w:val="center"/>
        <w:tblLook w:val="04A0"/>
      </w:tblPr>
      <w:tblGrid>
        <w:gridCol w:w="630"/>
        <w:gridCol w:w="3011"/>
        <w:gridCol w:w="1105"/>
        <w:gridCol w:w="1000"/>
        <w:gridCol w:w="936"/>
        <w:gridCol w:w="936"/>
        <w:gridCol w:w="936"/>
        <w:gridCol w:w="1026"/>
      </w:tblGrid>
      <w:tr w:rsidR="006760EA" w:rsidRPr="00CE72E8" w:rsidTr="00DC5D7B">
        <w:trPr>
          <w:trHeight w:val="580"/>
          <w:jc w:val="center"/>
        </w:trPr>
        <w:tc>
          <w:tcPr>
            <w:tcW w:w="580"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Γραμ</w:t>
            </w:r>
            <w:proofErr w:type="spellEnd"/>
          </w:p>
        </w:tc>
        <w:tc>
          <w:tcPr>
            <w:tcW w:w="3480" w:type="dxa"/>
            <w:tcBorders>
              <w:top w:val="single" w:sz="4" w:space="0" w:color="auto"/>
              <w:left w:val="nil"/>
              <w:bottom w:val="double" w:sz="6"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ΣΤΟΧΟΘΕΣΙΑ ΕΣΟΔΩΝ</w:t>
            </w:r>
          </w:p>
        </w:tc>
        <w:tc>
          <w:tcPr>
            <w:tcW w:w="1000" w:type="dxa"/>
            <w:tcBorders>
              <w:top w:val="single" w:sz="4" w:space="0" w:color="auto"/>
              <w:left w:val="nil"/>
              <w:bottom w:val="double" w:sz="6"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 xml:space="preserve">Τρέχουσα </w:t>
            </w:r>
            <w:proofErr w:type="spellStart"/>
            <w:r w:rsidRPr="00CE72E8">
              <w:rPr>
                <w:b/>
                <w:bCs/>
                <w:color w:val="000000"/>
                <w:sz w:val="18"/>
                <w:szCs w:val="18"/>
                <w:lang w:bidi="he-IL"/>
              </w:rPr>
              <w:t>Στοχοθεσία</w:t>
            </w:r>
            <w:proofErr w:type="spellEnd"/>
          </w:p>
        </w:tc>
        <w:tc>
          <w:tcPr>
            <w:tcW w:w="10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Ιούλ</w:t>
            </w:r>
            <w:proofErr w:type="spellEnd"/>
            <w:r w:rsidRPr="00CE72E8">
              <w:rPr>
                <w:b/>
                <w:bCs/>
                <w:color w:val="000000"/>
                <w:sz w:val="18"/>
                <w:szCs w:val="18"/>
                <w:lang w:bidi="he-IL"/>
              </w:rPr>
              <w:t>.</w:t>
            </w:r>
          </w:p>
        </w:tc>
        <w:tc>
          <w:tcPr>
            <w:tcW w:w="88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Αύγ.</w:t>
            </w:r>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Σεπτ</w:t>
            </w:r>
            <w:proofErr w:type="spellEnd"/>
            <w:r w:rsidRPr="00CE72E8">
              <w:rPr>
                <w:b/>
                <w:bCs/>
                <w:color w:val="000000"/>
                <w:sz w:val="18"/>
                <w:szCs w:val="18"/>
                <w:lang w:bidi="he-IL"/>
              </w:rPr>
              <w:t>.</w:t>
            </w:r>
          </w:p>
        </w:tc>
        <w:tc>
          <w:tcPr>
            <w:tcW w:w="84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Γ' τρίμηνο</w:t>
            </w:r>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9μηνο</w:t>
            </w:r>
          </w:p>
        </w:tc>
      </w:tr>
      <w:tr w:rsidR="006760EA" w:rsidRPr="00CE72E8" w:rsidTr="00DC5D7B">
        <w:trPr>
          <w:trHeight w:val="628"/>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1</w:t>
            </w:r>
          </w:p>
        </w:tc>
        <w:tc>
          <w:tcPr>
            <w:tcW w:w="3480" w:type="dxa"/>
            <w:tcBorders>
              <w:top w:val="nil"/>
              <w:left w:val="nil"/>
              <w:bottom w:val="single" w:sz="4" w:space="0" w:color="auto"/>
              <w:right w:val="single" w:sz="4" w:space="0" w:color="auto"/>
            </w:tcBorders>
            <w:shd w:val="clear" w:color="000000" w:fill="FFFFFF"/>
            <w:vAlign w:val="center"/>
            <w:hideMark/>
          </w:tcPr>
          <w:p w:rsidR="006760EA" w:rsidRPr="00CE72E8" w:rsidRDefault="006760EA" w:rsidP="00DC5D7B">
            <w:pPr>
              <w:rPr>
                <w:color w:val="000000"/>
                <w:sz w:val="18"/>
                <w:szCs w:val="18"/>
                <w:lang w:bidi="he-IL"/>
              </w:rPr>
            </w:pPr>
            <w:r w:rsidRPr="00CE72E8">
              <w:rPr>
                <w:color w:val="000000"/>
                <w:sz w:val="18"/>
                <w:szCs w:val="18"/>
                <w:lang w:bidi="he-IL"/>
              </w:rPr>
              <w:t xml:space="preserve">Επιχορηγήσεις από τακτικό </w:t>
            </w:r>
            <w:proofErr w:type="spellStart"/>
            <w:r w:rsidRPr="00CE72E8">
              <w:rPr>
                <w:color w:val="000000"/>
                <w:sz w:val="18"/>
                <w:szCs w:val="18"/>
                <w:lang w:bidi="he-IL"/>
              </w:rPr>
              <w:t>προυπολογισμό</w:t>
            </w:r>
            <w:proofErr w:type="spellEnd"/>
          </w:p>
        </w:tc>
        <w:tc>
          <w:tcPr>
            <w:tcW w:w="10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1.022.707</w:t>
            </w:r>
          </w:p>
        </w:tc>
        <w:tc>
          <w:tcPr>
            <w:tcW w:w="88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588.369</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709.795</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2.320.872</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6.191.593</w:t>
            </w:r>
          </w:p>
        </w:tc>
      </w:tr>
      <w:tr w:rsidR="006760EA" w:rsidRPr="00CE72E8" w:rsidTr="00DC5D7B">
        <w:trPr>
          <w:trHeight w:val="49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2</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Επιχορηγήσεις από ΠΔΕ και από προγράμματα Ε.Ε.</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1.293.248</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342.770</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304.793</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1.940.811</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3.611.237</w:t>
            </w:r>
          </w:p>
        </w:tc>
      </w:tr>
      <w:tr w:rsidR="006760EA" w:rsidRPr="00CE72E8" w:rsidTr="00DC5D7B">
        <w:trPr>
          <w:trHeight w:val="40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3</w:t>
            </w:r>
            <w:r w:rsidRPr="00CE72E8">
              <w:rPr>
                <w:color w:val="000000"/>
                <w:sz w:val="18"/>
                <w:szCs w:val="18"/>
                <w:vertAlign w:val="superscript"/>
                <w:lang w:bidi="he-IL"/>
              </w:rPr>
              <w:t>α</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proofErr w:type="spellStart"/>
            <w:r w:rsidRPr="00CE72E8">
              <w:rPr>
                <w:color w:val="000000"/>
                <w:sz w:val="18"/>
                <w:szCs w:val="18"/>
                <w:lang w:bidi="he-IL"/>
              </w:rPr>
              <w:t>Ιδια</w:t>
            </w:r>
            <w:proofErr w:type="spellEnd"/>
            <w:r w:rsidRPr="00CE72E8">
              <w:rPr>
                <w:color w:val="000000"/>
                <w:sz w:val="18"/>
                <w:szCs w:val="18"/>
                <w:lang w:bidi="he-IL"/>
              </w:rPr>
              <w:t xml:space="preserve"> </w:t>
            </w:r>
            <w:proofErr w:type="spellStart"/>
            <w:r w:rsidRPr="00CE72E8">
              <w:rPr>
                <w:color w:val="000000"/>
                <w:sz w:val="18"/>
                <w:szCs w:val="18"/>
                <w:lang w:bidi="he-IL"/>
              </w:rPr>
              <w:t>Εσοδα</w:t>
            </w:r>
            <w:proofErr w:type="spellEnd"/>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336.355</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220.882</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435.865</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993.102</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2.305.407</w:t>
            </w:r>
          </w:p>
        </w:tc>
      </w:tr>
      <w:tr w:rsidR="006760EA" w:rsidRPr="00CE72E8" w:rsidTr="00DC5D7B">
        <w:trPr>
          <w:trHeight w:val="501"/>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3β</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proofErr w:type="spellStart"/>
            <w:r w:rsidRPr="00CE72E8">
              <w:rPr>
                <w:color w:val="000000"/>
                <w:sz w:val="18"/>
                <w:szCs w:val="18"/>
                <w:lang w:bidi="he-IL"/>
              </w:rPr>
              <w:t>Ιδια</w:t>
            </w:r>
            <w:proofErr w:type="spellEnd"/>
            <w:r w:rsidRPr="00CE72E8">
              <w:rPr>
                <w:color w:val="000000"/>
                <w:sz w:val="18"/>
                <w:szCs w:val="18"/>
                <w:lang w:bidi="he-IL"/>
              </w:rPr>
              <w:t xml:space="preserve"> </w:t>
            </w:r>
            <w:proofErr w:type="spellStart"/>
            <w:r w:rsidRPr="00CE72E8">
              <w:rPr>
                <w:color w:val="000000"/>
                <w:sz w:val="18"/>
                <w:szCs w:val="18"/>
                <w:lang w:bidi="he-IL"/>
              </w:rPr>
              <w:t>Εσοδα</w:t>
            </w:r>
            <w:proofErr w:type="spellEnd"/>
            <w:r w:rsidRPr="00CE72E8">
              <w:rPr>
                <w:color w:val="000000"/>
                <w:sz w:val="18"/>
                <w:szCs w:val="18"/>
                <w:lang w:bidi="he-IL"/>
              </w:rPr>
              <w:t xml:space="preserve"> που βεβαιώνονται και εισπράττονται για πρώτη φορά</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6.751</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2.724</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3.245</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12.720</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946.270</w:t>
            </w:r>
          </w:p>
        </w:tc>
      </w:tr>
      <w:tr w:rsidR="006760EA" w:rsidRPr="00CE72E8" w:rsidTr="00DC5D7B">
        <w:trPr>
          <w:trHeight w:val="54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4</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proofErr w:type="spellStart"/>
            <w:r w:rsidRPr="00CE72E8">
              <w:rPr>
                <w:color w:val="000000"/>
                <w:sz w:val="18"/>
                <w:szCs w:val="18"/>
                <w:lang w:bidi="he-IL"/>
              </w:rPr>
              <w:t>Εσοδα</w:t>
            </w:r>
            <w:proofErr w:type="spellEnd"/>
            <w:r w:rsidRPr="00CE72E8">
              <w:rPr>
                <w:color w:val="000000"/>
                <w:sz w:val="18"/>
                <w:szCs w:val="18"/>
                <w:lang w:bidi="he-IL"/>
              </w:rPr>
              <w:t xml:space="preserve"> που προβλέπεται να εισπραχθούν από απαιτήσεις Π.Ο.Ε.</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31.900</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22.303</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24.076</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78.279</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303.665</w:t>
            </w:r>
          </w:p>
        </w:tc>
      </w:tr>
      <w:tr w:rsidR="006760EA" w:rsidRPr="00CE72E8" w:rsidTr="00DC5D7B">
        <w:trPr>
          <w:trHeight w:val="40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5</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 xml:space="preserve">Λοιπά </w:t>
            </w:r>
            <w:proofErr w:type="spellStart"/>
            <w:r w:rsidRPr="00CE72E8">
              <w:rPr>
                <w:color w:val="000000"/>
                <w:sz w:val="18"/>
                <w:szCs w:val="18"/>
                <w:lang w:bidi="he-IL"/>
              </w:rPr>
              <w:t>Εσοδα</w:t>
            </w:r>
            <w:proofErr w:type="spellEnd"/>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309.614</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275.035</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279.184</w:t>
            </w:r>
          </w:p>
        </w:tc>
        <w:tc>
          <w:tcPr>
            <w:tcW w:w="84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863.833</w:t>
            </w:r>
          </w:p>
        </w:tc>
        <w:tc>
          <w:tcPr>
            <w:tcW w:w="9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2.305.409</w:t>
            </w:r>
          </w:p>
        </w:tc>
      </w:tr>
      <w:tr w:rsidR="006760EA" w:rsidRPr="00CE72E8" w:rsidTr="00DC5D7B">
        <w:trPr>
          <w:trHeight w:val="43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Α.1</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ΣΥΝΟΛΟ ΕΣΟΔΩΝ  ΓΡΑΜΜΕΣ 1-5</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0</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3.000.576</w:t>
            </w:r>
          </w:p>
        </w:tc>
        <w:tc>
          <w:tcPr>
            <w:tcW w:w="88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1.452.082</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1.756.958</w:t>
            </w:r>
          </w:p>
        </w:tc>
        <w:tc>
          <w:tcPr>
            <w:tcW w:w="84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6.209.616</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15.663.580</w:t>
            </w:r>
          </w:p>
        </w:tc>
      </w:tr>
      <w:tr w:rsidR="006760EA" w:rsidRPr="00CE72E8" w:rsidTr="00DC5D7B">
        <w:trPr>
          <w:trHeight w:val="34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6</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 xml:space="preserve">Διαθέσιμα </w:t>
            </w:r>
          </w:p>
        </w:tc>
        <w:tc>
          <w:tcPr>
            <w:tcW w:w="10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6.505.260</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r w:rsidR="006760EA" w:rsidRPr="00CE72E8" w:rsidTr="00DC5D7B">
        <w:trPr>
          <w:trHeight w:val="505"/>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7</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Προσαρμοσμένο Χρηματικό Υπόλοιπο</w:t>
            </w:r>
          </w:p>
        </w:tc>
        <w:tc>
          <w:tcPr>
            <w:tcW w:w="1000" w:type="dxa"/>
            <w:tcBorders>
              <w:top w:val="nil"/>
              <w:left w:val="nil"/>
              <w:bottom w:val="single" w:sz="4" w:space="0" w:color="auto"/>
              <w:right w:val="single" w:sz="4" w:space="0" w:color="auto"/>
            </w:tcBorders>
            <w:shd w:val="clear" w:color="000000" w:fill="FFFFFF"/>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6.505.260</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r w:rsidR="006760EA" w:rsidRPr="00CE72E8" w:rsidTr="00DC5D7B">
        <w:trPr>
          <w:trHeight w:val="555"/>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Α.2</w:t>
            </w:r>
          </w:p>
        </w:tc>
        <w:tc>
          <w:tcPr>
            <w:tcW w:w="3480" w:type="dxa"/>
            <w:tcBorders>
              <w:top w:val="nil"/>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ΣΥΝΟΛΟ ΕΣΟΔΩΝ  ΚΑΙ  ΔΙΑΘΕΣΙΜΩΝ (Σύνολο Γραμμών 1-6)</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6.505.260</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bl>
    <w:p w:rsidR="006760EA" w:rsidRDefault="006760EA" w:rsidP="006760EA"/>
    <w:p w:rsidR="006760EA" w:rsidRDefault="006760EA" w:rsidP="006760EA"/>
    <w:p w:rsidR="006760EA" w:rsidRDefault="006760EA" w:rsidP="006760EA">
      <w:pPr>
        <w:spacing w:before="120" w:after="120" w:line="360" w:lineRule="auto"/>
        <w:jc w:val="center"/>
        <w:rPr>
          <w:b/>
        </w:rPr>
      </w:pPr>
    </w:p>
    <w:tbl>
      <w:tblPr>
        <w:tblW w:w="9580" w:type="dxa"/>
        <w:jc w:val="center"/>
        <w:tblLook w:val="04A0"/>
      </w:tblPr>
      <w:tblGrid>
        <w:gridCol w:w="630"/>
        <w:gridCol w:w="3011"/>
        <w:gridCol w:w="1105"/>
        <w:gridCol w:w="1000"/>
        <w:gridCol w:w="936"/>
        <w:gridCol w:w="936"/>
        <w:gridCol w:w="936"/>
        <w:gridCol w:w="1026"/>
      </w:tblGrid>
      <w:tr w:rsidR="006760EA" w:rsidRPr="00CE72E8" w:rsidTr="00DC5D7B">
        <w:trPr>
          <w:trHeight w:val="550"/>
          <w:jc w:val="center"/>
        </w:trPr>
        <w:tc>
          <w:tcPr>
            <w:tcW w:w="580"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Γραμ</w:t>
            </w:r>
            <w:proofErr w:type="spellEnd"/>
          </w:p>
        </w:tc>
        <w:tc>
          <w:tcPr>
            <w:tcW w:w="3480" w:type="dxa"/>
            <w:tcBorders>
              <w:top w:val="single" w:sz="4" w:space="0" w:color="auto"/>
              <w:left w:val="nil"/>
              <w:bottom w:val="double" w:sz="6"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ΣΤΟΧΟΘΕΣΙΑ ΕΞΟΔΩΝ</w:t>
            </w:r>
          </w:p>
        </w:tc>
        <w:tc>
          <w:tcPr>
            <w:tcW w:w="1000" w:type="dxa"/>
            <w:tcBorders>
              <w:top w:val="single" w:sz="4" w:space="0" w:color="auto"/>
              <w:left w:val="nil"/>
              <w:bottom w:val="double" w:sz="6"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 xml:space="preserve">Τρέχουσα </w:t>
            </w:r>
            <w:proofErr w:type="spellStart"/>
            <w:r w:rsidRPr="00CE72E8">
              <w:rPr>
                <w:b/>
                <w:bCs/>
                <w:color w:val="000000"/>
                <w:sz w:val="18"/>
                <w:szCs w:val="18"/>
                <w:lang w:bidi="he-IL"/>
              </w:rPr>
              <w:t>Στοχοθεσία</w:t>
            </w:r>
            <w:proofErr w:type="spellEnd"/>
          </w:p>
        </w:tc>
        <w:tc>
          <w:tcPr>
            <w:tcW w:w="10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Ιούλ</w:t>
            </w:r>
            <w:proofErr w:type="spellEnd"/>
            <w:r w:rsidRPr="00CE72E8">
              <w:rPr>
                <w:b/>
                <w:bCs/>
                <w:color w:val="000000"/>
                <w:sz w:val="18"/>
                <w:szCs w:val="18"/>
                <w:lang w:bidi="he-IL"/>
              </w:rPr>
              <w:t>.</w:t>
            </w:r>
          </w:p>
        </w:tc>
        <w:tc>
          <w:tcPr>
            <w:tcW w:w="88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Αύγ.</w:t>
            </w:r>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proofErr w:type="spellStart"/>
            <w:r w:rsidRPr="00CE72E8">
              <w:rPr>
                <w:b/>
                <w:bCs/>
                <w:color w:val="000000"/>
                <w:sz w:val="18"/>
                <w:szCs w:val="18"/>
                <w:lang w:bidi="he-IL"/>
              </w:rPr>
              <w:t>Σεπτ</w:t>
            </w:r>
            <w:proofErr w:type="spellEnd"/>
            <w:r w:rsidRPr="00CE72E8">
              <w:rPr>
                <w:b/>
                <w:bCs/>
                <w:color w:val="000000"/>
                <w:sz w:val="18"/>
                <w:szCs w:val="18"/>
                <w:lang w:bidi="he-IL"/>
              </w:rPr>
              <w:t>.</w:t>
            </w:r>
          </w:p>
        </w:tc>
        <w:tc>
          <w:tcPr>
            <w:tcW w:w="84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Γ' τρίμηνο</w:t>
            </w:r>
          </w:p>
        </w:tc>
        <w:tc>
          <w:tcPr>
            <w:tcW w:w="900" w:type="dxa"/>
            <w:tcBorders>
              <w:top w:val="single" w:sz="4" w:space="0" w:color="auto"/>
              <w:left w:val="nil"/>
              <w:bottom w:val="double" w:sz="6"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9μηνο</w:t>
            </w:r>
          </w:p>
        </w:tc>
      </w:tr>
      <w:tr w:rsidR="006760EA" w:rsidRPr="00CE72E8" w:rsidTr="00DC5D7B">
        <w:trPr>
          <w:trHeight w:val="38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1</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Κόστος προσωπικού</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684.246</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628.374</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606.498</w:t>
            </w:r>
          </w:p>
        </w:tc>
        <w:tc>
          <w:tcPr>
            <w:tcW w:w="840" w:type="dxa"/>
            <w:tcBorders>
              <w:top w:val="single" w:sz="4" w:space="0" w:color="auto"/>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1.919.118</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5.274.873</w:t>
            </w:r>
          </w:p>
        </w:tc>
      </w:tr>
      <w:tr w:rsidR="006760EA" w:rsidRPr="00CE72E8" w:rsidTr="00DC5D7B">
        <w:trPr>
          <w:trHeight w:val="37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2</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Λοιπά έξοδα χρήσης</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571.207</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704.815</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443.473</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1.719.496</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3.919.849</w:t>
            </w:r>
          </w:p>
        </w:tc>
      </w:tr>
      <w:tr w:rsidR="006760EA" w:rsidRPr="00CE72E8" w:rsidTr="00DC5D7B">
        <w:trPr>
          <w:trHeight w:val="35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3</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Δαπάνες για επενδύσεις</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969.811</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483.718</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886.951</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2.340.480</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4.729.714</w:t>
            </w:r>
          </w:p>
        </w:tc>
      </w:tr>
      <w:tr w:rsidR="006760EA" w:rsidRPr="00CE72E8" w:rsidTr="00DC5D7B">
        <w:trPr>
          <w:trHeight w:val="36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4</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Πληρωμές Π.Ο.Ε.</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54.845</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6.357</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0</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61.202</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539.922</w:t>
            </w:r>
          </w:p>
        </w:tc>
      </w:tr>
      <w:tr w:rsidR="006760EA" w:rsidRPr="00CE72E8" w:rsidTr="00DC5D7B">
        <w:trPr>
          <w:trHeight w:val="48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5</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Αποδόσεις εσόδων υπέρ Δημοσίου και τρίτων</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316.729</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338.076</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276.590</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931.395</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2.602.388</w:t>
            </w:r>
          </w:p>
        </w:tc>
      </w:tr>
      <w:tr w:rsidR="006760EA" w:rsidRPr="00CE72E8" w:rsidTr="00DC5D7B">
        <w:trPr>
          <w:trHeight w:val="400"/>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lastRenderedPageBreak/>
              <w:t>Β.1</w:t>
            </w:r>
          </w:p>
        </w:tc>
        <w:tc>
          <w:tcPr>
            <w:tcW w:w="3480" w:type="dxa"/>
            <w:tcBorders>
              <w:top w:val="nil"/>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ΣΥΝΟΛΟ ΕΞΟΔΩΝ (Γραμμές 1-5)</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0</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2.596.838</w:t>
            </w:r>
          </w:p>
        </w:tc>
        <w:tc>
          <w:tcPr>
            <w:tcW w:w="88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2.161.341</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2.213.513</w:t>
            </w:r>
          </w:p>
        </w:tc>
        <w:tc>
          <w:tcPr>
            <w:tcW w:w="84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6.971.691</w:t>
            </w:r>
          </w:p>
        </w:tc>
        <w:tc>
          <w:tcPr>
            <w:tcW w:w="9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17.066.746</w:t>
            </w:r>
          </w:p>
        </w:tc>
      </w:tr>
      <w:tr w:rsidR="006760EA" w:rsidRPr="00CE72E8" w:rsidTr="00DC5D7B">
        <w:trPr>
          <w:trHeight w:val="37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6</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Αποθεματικό</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220.439</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r w:rsidR="006760EA" w:rsidRPr="00CE72E8" w:rsidTr="00DC5D7B">
        <w:trPr>
          <w:trHeight w:val="560"/>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Β.2</w:t>
            </w:r>
          </w:p>
        </w:tc>
        <w:tc>
          <w:tcPr>
            <w:tcW w:w="3480" w:type="dxa"/>
            <w:tcBorders>
              <w:top w:val="nil"/>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ΣΥΝΟΛΟ ΕΞΟΔΩΝ ΜΕ ΑΠΟΘΕΜΑΤΙΚΟ (Γραμμές 1-6)</w:t>
            </w:r>
          </w:p>
        </w:tc>
        <w:tc>
          <w:tcPr>
            <w:tcW w:w="10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220.439</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r w:rsidR="006760EA" w:rsidRPr="00CE72E8" w:rsidTr="00DC5D7B">
        <w:trPr>
          <w:trHeight w:val="72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Γ.1</w:t>
            </w:r>
          </w:p>
        </w:tc>
        <w:tc>
          <w:tcPr>
            <w:tcW w:w="3480" w:type="dxa"/>
            <w:tcBorders>
              <w:top w:val="single" w:sz="4" w:space="0" w:color="auto"/>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proofErr w:type="spellStart"/>
            <w:r w:rsidRPr="00CE72E8">
              <w:rPr>
                <w:b/>
                <w:bCs/>
                <w:color w:val="000000"/>
                <w:sz w:val="18"/>
                <w:szCs w:val="18"/>
                <w:lang w:bidi="he-IL"/>
              </w:rPr>
              <w:t>Υψος</w:t>
            </w:r>
            <w:proofErr w:type="spellEnd"/>
            <w:r w:rsidRPr="00CE72E8">
              <w:rPr>
                <w:b/>
                <w:bCs/>
                <w:color w:val="000000"/>
                <w:sz w:val="18"/>
                <w:szCs w:val="18"/>
                <w:lang w:bidi="he-IL"/>
              </w:rPr>
              <w:t xml:space="preserve"> απλήρωτων υποχρεώσεων κατά την 31/12 προηγούμενου οικ. έτους</w:t>
            </w:r>
          </w:p>
        </w:tc>
        <w:tc>
          <w:tcPr>
            <w:tcW w:w="1000" w:type="dxa"/>
            <w:tcBorders>
              <w:top w:val="single" w:sz="4" w:space="0" w:color="auto"/>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2.929.588</w:t>
            </w:r>
          </w:p>
        </w:tc>
        <w:tc>
          <w:tcPr>
            <w:tcW w:w="1000"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80"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840"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900" w:type="dxa"/>
            <w:tcBorders>
              <w:top w:val="single" w:sz="4" w:space="0" w:color="auto"/>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r>
      <w:tr w:rsidR="006760EA" w:rsidRPr="00CE72E8" w:rsidTr="00DC5D7B">
        <w:trPr>
          <w:trHeight w:val="560"/>
          <w:jc w:val="center"/>
        </w:trPr>
        <w:tc>
          <w:tcPr>
            <w:tcW w:w="580" w:type="dxa"/>
            <w:tcBorders>
              <w:top w:val="nil"/>
              <w:left w:val="single" w:sz="4" w:space="0" w:color="auto"/>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Γ.2</w:t>
            </w:r>
          </w:p>
        </w:tc>
        <w:tc>
          <w:tcPr>
            <w:tcW w:w="3480" w:type="dxa"/>
            <w:tcBorders>
              <w:top w:val="nil"/>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xml:space="preserve">Μηνιαίοι Στόχοι απλήρωτων υποχρεώσεων έτους </w:t>
            </w:r>
            <w:proofErr w:type="spellStart"/>
            <w:r w:rsidRPr="00CE72E8">
              <w:rPr>
                <w:b/>
                <w:bCs/>
                <w:color w:val="000000"/>
                <w:sz w:val="18"/>
                <w:szCs w:val="18"/>
                <w:lang w:bidi="he-IL"/>
              </w:rPr>
              <w:t>στοχοθεσίας</w:t>
            </w:r>
            <w:proofErr w:type="spellEnd"/>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1.880.081</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1.366.539</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sz w:val="18"/>
                <w:szCs w:val="18"/>
                <w:lang w:bidi="he-IL"/>
              </w:rPr>
            </w:pPr>
            <w:r w:rsidRPr="00CE72E8">
              <w:rPr>
                <w:sz w:val="18"/>
                <w:szCs w:val="18"/>
                <w:lang w:bidi="he-IL"/>
              </w:rPr>
              <w:t>1.765.214</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1.765.214</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1.765.214</w:t>
            </w:r>
          </w:p>
        </w:tc>
      </w:tr>
      <w:tr w:rsidR="006760EA" w:rsidRPr="00CE72E8" w:rsidTr="00DC5D7B">
        <w:trPr>
          <w:trHeight w:val="20"/>
          <w:jc w:val="center"/>
        </w:trPr>
        <w:tc>
          <w:tcPr>
            <w:tcW w:w="580" w:type="dxa"/>
            <w:tcBorders>
              <w:top w:val="nil"/>
              <w:left w:val="single" w:sz="4" w:space="0" w:color="auto"/>
              <w:bottom w:val="single" w:sz="4" w:space="0" w:color="auto"/>
              <w:right w:val="single" w:sz="4" w:space="0" w:color="auto"/>
            </w:tcBorders>
            <w:noWrap/>
            <w:vAlign w:val="center"/>
            <w:hideMark/>
          </w:tcPr>
          <w:p w:rsidR="006760EA" w:rsidRPr="00CE72E8" w:rsidRDefault="006760EA" w:rsidP="00DC5D7B">
            <w:pPr>
              <w:jc w:val="center"/>
              <w:rPr>
                <w:color w:val="000000"/>
                <w:sz w:val="18"/>
                <w:szCs w:val="18"/>
                <w:lang w:bidi="he-IL"/>
              </w:rPr>
            </w:pPr>
            <w:r w:rsidRPr="00CE72E8">
              <w:rPr>
                <w:color w:val="000000"/>
                <w:sz w:val="18"/>
                <w:szCs w:val="18"/>
                <w:lang w:bidi="he-IL"/>
              </w:rPr>
              <w:t> </w:t>
            </w:r>
          </w:p>
        </w:tc>
        <w:tc>
          <w:tcPr>
            <w:tcW w:w="3480" w:type="dxa"/>
            <w:tcBorders>
              <w:top w:val="nil"/>
              <w:left w:val="nil"/>
              <w:bottom w:val="single" w:sz="4" w:space="0" w:color="auto"/>
              <w:right w:val="single" w:sz="4" w:space="0" w:color="auto"/>
            </w:tcBorders>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rPr>
                <w:color w:val="000000"/>
                <w:sz w:val="18"/>
                <w:szCs w:val="18"/>
                <w:lang w:bidi="he-IL"/>
              </w:rPr>
            </w:pPr>
            <w:r w:rsidRPr="00CE72E8">
              <w:rPr>
                <w:color w:val="000000"/>
                <w:sz w:val="18"/>
                <w:szCs w:val="18"/>
                <w:lang w:bidi="he-IL"/>
              </w:rPr>
              <w:t> </w:t>
            </w:r>
          </w:p>
        </w:tc>
      </w:tr>
      <w:tr w:rsidR="006760EA" w:rsidRPr="00CE72E8" w:rsidTr="00DC5D7B">
        <w:trPr>
          <w:trHeight w:val="370"/>
          <w:jc w:val="center"/>
        </w:trPr>
        <w:tc>
          <w:tcPr>
            <w:tcW w:w="580" w:type="dxa"/>
            <w:tcBorders>
              <w:top w:val="nil"/>
              <w:left w:val="single" w:sz="4" w:space="0" w:color="auto"/>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Δ</w:t>
            </w:r>
          </w:p>
        </w:tc>
        <w:tc>
          <w:tcPr>
            <w:tcW w:w="3480" w:type="dxa"/>
            <w:tcBorders>
              <w:top w:val="nil"/>
              <w:left w:val="nil"/>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Ταμειακό Αποτέλεσμα ΟΠΔ (Στόχος)</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10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6.267.909</w:t>
            </w:r>
          </w:p>
        </w:tc>
        <w:tc>
          <w:tcPr>
            <w:tcW w:w="88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5.558.650</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5.102.095</w:t>
            </w:r>
          </w:p>
        </w:tc>
        <w:tc>
          <w:tcPr>
            <w:tcW w:w="84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5.102.095</w:t>
            </w:r>
          </w:p>
        </w:tc>
        <w:tc>
          <w:tcPr>
            <w:tcW w:w="900" w:type="dxa"/>
            <w:tcBorders>
              <w:top w:val="nil"/>
              <w:left w:val="nil"/>
              <w:bottom w:val="single" w:sz="4" w:space="0" w:color="auto"/>
              <w:right w:val="single" w:sz="4" w:space="0" w:color="auto"/>
            </w:tcBorders>
            <w:noWrap/>
            <w:vAlign w:val="center"/>
            <w:hideMark/>
          </w:tcPr>
          <w:p w:rsidR="006760EA" w:rsidRPr="00CE72E8" w:rsidRDefault="006760EA" w:rsidP="00DC5D7B">
            <w:pPr>
              <w:jc w:val="right"/>
              <w:rPr>
                <w:color w:val="000000"/>
                <w:sz w:val="18"/>
                <w:szCs w:val="18"/>
                <w:lang w:bidi="he-IL"/>
              </w:rPr>
            </w:pPr>
            <w:r w:rsidRPr="00CE72E8">
              <w:rPr>
                <w:color w:val="000000"/>
                <w:sz w:val="18"/>
                <w:szCs w:val="18"/>
                <w:lang w:bidi="he-IL"/>
              </w:rPr>
              <w:t>5.102.095</w:t>
            </w:r>
          </w:p>
        </w:tc>
      </w:tr>
      <w:tr w:rsidR="006760EA" w:rsidRPr="00CE72E8" w:rsidTr="00DC5D7B">
        <w:trPr>
          <w:trHeight w:val="506"/>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rsidR="006760EA" w:rsidRPr="00CE72E8" w:rsidRDefault="006760EA" w:rsidP="00DC5D7B">
            <w:pPr>
              <w:jc w:val="center"/>
              <w:rPr>
                <w:b/>
                <w:bCs/>
                <w:color w:val="000000"/>
                <w:sz w:val="18"/>
                <w:szCs w:val="18"/>
                <w:lang w:bidi="he-IL"/>
              </w:rPr>
            </w:pPr>
            <w:r w:rsidRPr="00CE72E8">
              <w:rPr>
                <w:b/>
                <w:bCs/>
                <w:color w:val="000000"/>
                <w:sz w:val="18"/>
                <w:szCs w:val="18"/>
                <w:lang w:bidi="he-IL"/>
              </w:rPr>
              <w:t>Ε</w:t>
            </w:r>
          </w:p>
        </w:tc>
        <w:tc>
          <w:tcPr>
            <w:tcW w:w="3480" w:type="dxa"/>
            <w:tcBorders>
              <w:top w:val="nil"/>
              <w:left w:val="nil"/>
              <w:bottom w:val="single" w:sz="4" w:space="0" w:color="auto"/>
              <w:right w:val="single" w:sz="4" w:space="0" w:color="auto"/>
            </w:tcBorders>
            <w:shd w:val="clear" w:color="000000" w:fill="FABF8F"/>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Οικονομικό Αποτέλεσμα ΟΠΔ (Στόχος)</w:t>
            </w:r>
          </w:p>
        </w:tc>
        <w:tc>
          <w:tcPr>
            <w:tcW w:w="1000" w:type="dxa"/>
            <w:tcBorders>
              <w:top w:val="nil"/>
              <w:left w:val="nil"/>
              <w:bottom w:val="single" w:sz="4" w:space="0" w:color="auto"/>
              <w:right w:val="single" w:sz="4" w:space="0" w:color="auto"/>
            </w:tcBorders>
            <w:shd w:val="clear" w:color="000000" w:fill="FCD5B4"/>
            <w:noWrap/>
            <w:vAlign w:val="center"/>
            <w:hideMark/>
          </w:tcPr>
          <w:p w:rsidR="006760EA" w:rsidRPr="00CE72E8" w:rsidRDefault="006760EA" w:rsidP="00DC5D7B">
            <w:pPr>
              <w:rPr>
                <w:b/>
                <w:bCs/>
                <w:color w:val="000000"/>
                <w:sz w:val="18"/>
                <w:szCs w:val="18"/>
                <w:lang w:bidi="he-IL"/>
              </w:rPr>
            </w:pPr>
            <w:r w:rsidRPr="00CE72E8">
              <w:rPr>
                <w:b/>
                <w:bCs/>
                <w:color w:val="000000"/>
                <w:sz w:val="18"/>
                <w:szCs w:val="18"/>
                <w:lang w:bidi="he-IL"/>
              </w:rPr>
              <w:t> </w:t>
            </w:r>
          </w:p>
        </w:tc>
        <w:tc>
          <w:tcPr>
            <w:tcW w:w="1000" w:type="dxa"/>
            <w:tcBorders>
              <w:top w:val="nil"/>
              <w:left w:val="nil"/>
              <w:bottom w:val="single" w:sz="4" w:space="0" w:color="auto"/>
              <w:right w:val="single" w:sz="4" w:space="0" w:color="auto"/>
            </w:tcBorders>
            <w:shd w:val="clear" w:color="000000" w:fill="FABF8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4.387.827</w:t>
            </w:r>
          </w:p>
        </w:tc>
        <w:tc>
          <w:tcPr>
            <w:tcW w:w="880" w:type="dxa"/>
            <w:tcBorders>
              <w:top w:val="nil"/>
              <w:left w:val="nil"/>
              <w:bottom w:val="single" w:sz="4" w:space="0" w:color="auto"/>
              <w:right w:val="single" w:sz="4" w:space="0" w:color="auto"/>
            </w:tcBorders>
            <w:shd w:val="clear" w:color="000000" w:fill="FABF8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4.192.111</w:t>
            </w:r>
          </w:p>
        </w:tc>
        <w:tc>
          <w:tcPr>
            <w:tcW w:w="900" w:type="dxa"/>
            <w:tcBorders>
              <w:top w:val="nil"/>
              <w:left w:val="nil"/>
              <w:bottom w:val="single" w:sz="4" w:space="0" w:color="auto"/>
              <w:right w:val="single" w:sz="4" w:space="0" w:color="auto"/>
            </w:tcBorders>
            <w:shd w:val="clear" w:color="000000" w:fill="FABF8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3.336.881</w:t>
            </w:r>
          </w:p>
        </w:tc>
        <w:tc>
          <w:tcPr>
            <w:tcW w:w="840" w:type="dxa"/>
            <w:tcBorders>
              <w:top w:val="nil"/>
              <w:left w:val="nil"/>
              <w:bottom w:val="single" w:sz="4" w:space="0" w:color="auto"/>
              <w:right w:val="single" w:sz="4" w:space="0" w:color="auto"/>
            </w:tcBorders>
            <w:shd w:val="clear" w:color="000000" w:fill="FABF8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3.336.881</w:t>
            </w:r>
          </w:p>
        </w:tc>
        <w:tc>
          <w:tcPr>
            <w:tcW w:w="900" w:type="dxa"/>
            <w:tcBorders>
              <w:top w:val="nil"/>
              <w:left w:val="nil"/>
              <w:bottom w:val="single" w:sz="4" w:space="0" w:color="auto"/>
              <w:right w:val="single" w:sz="4" w:space="0" w:color="auto"/>
            </w:tcBorders>
            <w:shd w:val="clear" w:color="000000" w:fill="FABF8F"/>
            <w:noWrap/>
            <w:vAlign w:val="center"/>
            <w:hideMark/>
          </w:tcPr>
          <w:p w:rsidR="006760EA" w:rsidRPr="00CE72E8" w:rsidRDefault="006760EA" w:rsidP="00DC5D7B">
            <w:pPr>
              <w:jc w:val="right"/>
              <w:rPr>
                <w:b/>
                <w:bCs/>
                <w:color w:val="000000"/>
                <w:sz w:val="18"/>
                <w:szCs w:val="18"/>
                <w:lang w:bidi="he-IL"/>
              </w:rPr>
            </w:pPr>
            <w:r w:rsidRPr="00CE72E8">
              <w:rPr>
                <w:b/>
                <w:bCs/>
                <w:color w:val="000000"/>
                <w:sz w:val="18"/>
                <w:szCs w:val="18"/>
                <w:lang w:bidi="he-IL"/>
              </w:rPr>
              <w:t>3.336.881</w:t>
            </w:r>
          </w:p>
        </w:tc>
      </w:tr>
    </w:tbl>
    <w:p w:rsidR="006760EA" w:rsidRDefault="006760EA" w:rsidP="006760EA">
      <w:pPr>
        <w:spacing w:before="120" w:after="120" w:line="360" w:lineRule="auto"/>
        <w:jc w:val="center"/>
        <w:rPr>
          <w:b/>
        </w:rPr>
      </w:pPr>
    </w:p>
    <w:p w:rsidR="006760EA" w:rsidRDefault="006760EA" w:rsidP="006760EA">
      <w:pPr>
        <w:spacing w:before="120" w:after="120" w:line="360" w:lineRule="auto"/>
        <w:jc w:val="center"/>
        <w:rPr>
          <w:b/>
        </w:rPr>
      </w:pPr>
    </w:p>
    <w:tbl>
      <w:tblPr>
        <w:tblW w:w="7460" w:type="dxa"/>
        <w:jc w:val="center"/>
        <w:tblLook w:val="04A0"/>
      </w:tblPr>
      <w:tblGrid>
        <w:gridCol w:w="2520"/>
        <w:gridCol w:w="1600"/>
        <w:gridCol w:w="1480"/>
        <w:gridCol w:w="1860"/>
      </w:tblGrid>
      <w:tr w:rsidR="006760EA" w:rsidRPr="00CE72E8" w:rsidTr="00DC5D7B">
        <w:trPr>
          <w:trHeight w:val="670"/>
          <w:jc w:val="center"/>
        </w:trPr>
        <w:tc>
          <w:tcPr>
            <w:tcW w:w="25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760EA" w:rsidRPr="00CE72E8" w:rsidRDefault="006760EA" w:rsidP="00DC5D7B">
            <w:pPr>
              <w:rPr>
                <w:b/>
                <w:bCs/>
                <w:color w:val="000000"/>
                <w:lang w:bidi="he-IL"/>
              </w:rPr>
            </w:pPr>
            <w:r w:rsidRPr="00CE72E8">
              <w:rPr>
                <w:b/>
                <w:bCs/>
                <w:color w:val="000000"/>
                <w:lang w:bidi="he-IL"/>
              </w:rPr>
              <w:t>Σύνοψη υπολογισμών</w:t>
            </w:r>
          </w:p>
        </w:tc>
        <w:tc>
          <w:tcPr>
            <w:tcW w:w="1600" w:type="dxa"/>
            <w:tcBorders>
              <w:top w:val="single" w:sz="4" w:space="0" w:color="auto"/>
              <w:left w:val="nil"/>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lang w:bidi="he-IL"/>
              </w:rPr>
            </w:pPr>
            <w:r w:rsidRPr="00CE72E8">
              <w:rPr>
                <w:b/>
                <w:bCs/>
                <w:color w:val="000000"/>
                <w:lang w:bidi="he-IL"/>
              </w:rPr>
              <w:t>Από πίνακα 61</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lang w:bidi="he-IL"/>
              </w:rPr>
            </w:pPr>
            <w:r w:rsidRPr="00CE72E8">
              <w:rPr>
                <w:b/>
                <w:bCs/>
                <w:color w:val="000000"/>
                <w:lang w:bidi="he-IL"/>
              </w:rPr>
              <w:t>Από πίνακα 62</w:t>
            </w:r>
          </w:p>
        </w:tc>
        <w:tc>
          <w:tcPr>
            <w:tcW w:w="1860" w:type="dxa"/>
            <w:tcBorders>
              <w:top w:val="single" w:sz="4" w:space="0" w:color="auto"/>
              <w:left w:val="nil"/>
              <w:bottom w:val="single" w:sz="4" w:space="0" w:color="auto"/>
              <w:right w:val="single" w:sz="4" w:space="0" w:color="auto"/>
            </w:tcBorders>
            <w:shd w:val="clear" w:color="000000" w:fill="D9D9D9"/>
            <w:vAlign w:val="center"/>
            <w:hideMark/>
          </w:tcPr>
          <w:p w:rsidR="006760EA" w:rsidRPr="00CE72E8" w:rsidRDefault="006760EA" w:rsidP="00DC5D7B">
            <w:pPr>
              <w:jc w:val="center"/>
              <w:rPr>
                <w:b/>
                <w:bCs/>
                <w:color w:val="000000"/>
                <w:lang w:bidi="he-IL"/>
              </w:rPr>
            </w:pPr>
            <w:r w:rsidRPr="00CE72E8">
              <w:rPr>
                <w:b/>
                <w:bCs/>
                <w:color w:val="000000"/>
                <w:lang w:bidi="he-IL"/>
              </w:rPr>
              <w:t>Εκτέλεση μείον Στόχος</w:t>
            </w:r>
          </w:p>
        </w:tc>
      </w:tr>
      <w:tr w:rsidR="006760EA" w:rsidRPr="00CE72E8" w:rsidTr="00DC5D7B">
        <w:trPr>
          <w:trHeight w:val="485"/>
          <w:jc w:val="center"/>
        </w:trPr>
        <w:tc>
          <w:tcPr>
            <w:tcW w:w="2520" w:type="dxa"/>
            <w:tcBorders>
              <w:top w:val="nil"/>
              <w:left w:val="single" w:sz="4" w:space="0" w:color="auto"/>
              <w:bottom w:val="single" w:sz="4" w:space="0" w:color="auto"/>
              <w:right w:val="single" w:sz="4" w:space="0" w:color="auto"/>
            </w:tcBorders>
            <w:shd w:val="clear" w:color="000000" w:fill="D9D9D9"/>
            <w:vAlign w:val="center"/>
            <w:hideMark/>
          </w:tcPr>
          <w:p w:rsidR="006760EA" w:rsidRPr="00CE72E8" w:rsidRDefault="006760EA" w:rsidP="00DC5D7B">
            <w:pPr>
              <w:rPr>
                <w:b/>
                <w:bCs/>
                <w:color w:val="000000"/>
                <w:lang w:bidi="he-IL"/>
              </w:rPr>
            </w:pPr>
            <w:r w:rsidRPr="00CE72E8">
              <w:rPr>
                <w:b/>
                <w:bCs/>
                <w:color w:val="000000"/>
                <w:lang w:bidi="he-IL"/>
              </w:rPr>
              <w:t xml:space="preserve">Κατηγορίες </w:t>
            </w:r>
            <w:proofErr w:type="spellStart"/>
            <w:r w:rsidRPr="00CE72E8">
              <w:rPr>
                <w:b/>
                <w:bCs/>
                <w:color w:val="000000"/>
                <w:lang w:bidi="he-IL"/>
              </w:rPr>
              <w:t>Στοχοθεσίας</w:t>
            </w:r>
            <w:proofErr w:type="spellEnd"/>
          </w:p>
        </w:tc>
        <w:tc>
          <w:tcPr>
            <w:tcW w:w="160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lang w:bidi="he-IL"/>
              </w:rPr>
            </w:pPr>
            <w:r w:rsidRPr="00CE72E8">
              <w:rPr>
                <w:b/>
                <w:bCs/>
                <w:color w:val="000000"/>
                <w:lang w:bidi="he-IL"/>
              </w:rPr>
              <w:t xml:space="preserve">Στόχος </w:t>
            </w:r>
          </w:p>
        </w:tc>
        <w:tc>
          <w:tcPr>
            <w:tcW w:w="148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lang w:bidi="he-IL"/>
              </w:rPr>
            </w:pPr>
            <w:r w:rsidRPr="00CE72E8">
              <w:rPr>
                <w:b/>
                <w:bCs/>
                <w:color w:val="000000"/>
                <w:lang w:bidi="he-IL"/>
              </w:rPr>
              <w:t>Εκτέλεση</w:t>
            </w:r>
          </w:p>
        </w:tc>
        <w:tc>
          <w:tcPr>
            <w:tcW w:w="1860" w:type="dxa"/>
            <w:tcBorders>
              <w:top w:val="nil"/>
              <w:left w:val="nil"/>
              <w:bottom w:val="single" w:sz="4" w:space="0" w:color="auto"/>
              <w:right w:val="single" w:sz="4" w:space="0" w:color="auto"/>
            </w:tcBorders>
            <w:shd w:val="clear" w:color="000000" w:fill="D9D9D9"/>
            <w:noWrap/>
            <w:vAlign w:val="center"/>
            <w:hideMark/>
          </w:tcPr>
          <w:p w:rsidR="006760EA" w:rsidRPr="00CE72E8" w:rsidRDefault="006760EA" w:rsidP="00DC5D7B">
            <w:pPr>
              <w:jc w:val="center"/>
              <w:rPr>
                <w:b/>
                <w:bCs/>
                <w:color w:val="000000"/>
                <w:lang w:bidi="he-IL"/>
              </w:rPr>
            </w:pPr>
            <w:r w:rsidRPr="00CE72E8">
              <w:rPr>
                <w:b/>
                <w:bCs/>
                <w:color w:val="000000"/>
                <w:lang w:bidi="he-IL"/>
              </w:rPr>
              <w:t>Αποκλίσεις</w:t>
            </w:r>
          </w:p>
        </w:tc>
      </w:tr>
      <w:tr w:rsidR="006760EA" w:rsidRPr="00CE72E8" w:rsidTr="00DC5D7B">
        <w:trPr>
          <w:trHeight w:val="62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Ίδια έσοδα και έσοδα ΠΟΕ (3α+3Β+4)</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3.298.342</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3.555.342</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257.000</w:t>
            </w:r>
          </w:p>
        </w:tc>
      </w:tr>
      <w:tr w:rsidR="006760EA" w:rsidRPr="00CE72E8" w:rsidTr="00DC5D7B">
        <w:trPr>
          <w:trHeight w:val="52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Σύνολο εσόδων (Α.1)</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16.534.387</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15.663.580</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lang w:bidi="he-IL"/>
              </w:rPr>
            </w:pPr>
            <w:r w:rsidRPr="00CE72E8">
              <w:rPr>
                <w:color w:val="000000"/>
                <w:lang w:bidi="he-IL"/>
              </w:rPr>
              <w:t>Δεν υπολογίζεται</w:t>
            </w:r>
          </w:p>
        </w:tc>
      </w:tr>
      <w:tr w:rsidR="006760EA" w:rsidRPr="00CE72E8" w:rsidTr="00DC5D7B">
        <w:trPr>
          <w:trHeight w:val="63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Σύνολο εσόδων (Α.1) και διαθεσίμων έναρξης (6)</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23.039.647</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22.168.839</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-870.807</w:t>
            </w:r>
          </w:p>
        </w:tc>
      </w:tr>
      <w:tr w:rsidR="006760EA" w:rsidRPr="00CE72E8" w:rsidTr="00DC5D7B">
        <w:trPr>
          <w:trHeight w:val="56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Σύνολο εξόδων (Β.1)</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16.838.979</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17.066.746</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227.767</w:t>
            </w:r>
          </w:p>
        </w:tc>
      </w:tr>
      <w:tr w:rsidR="006760EA" w:rsidRPr="00CE72E8" w:rsidTr="00DC5D7B">
        <w:trPr>
          <w:trHeight w:val="68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Ταμειακό αποτέλεσμα ΟΠΔ (Δ) = (Α.1) + (6) - (Β.1)</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6.200.668</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5.102.095</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-1.098.573</w:t>
            </w:r>
          </w:p>
        </w:tc>
      </w:tr>
      <w:tr w:rsidR="006760EA" w:rsidRPr="00CE72E8" w:rsidTr="00DC5D7B">
        <w:trPr>
          <w:trHeight w:val="56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Απλήρωτες υποχρεώσεις (Γ2)</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890.000</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1.765.214</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875.214</w:t>
            </w:r>
          </w:p>
        </w:tc>
      </w:tr>
      <w:tr w:rsidR="006760EA" w:rsidRPr="00CE72E8" w:rsidTr="00DC5D7B">
        <w:trPr>
          <w:trHeight w:val="640"/>
          <w:jc w:val="center"/>
        </w:trPr>
        <w:tc>
          <w:tcPr>
            <w:tcW w:w="2520" w:type="dxa"/>
            <w:tcBorders>
              <w:top w:val="nil"/>
              <w:left w:val="single" w:sz="4" w:space="0" w:color="auto"/>
              <w:bottom w:val="single" w:sz="4" w:space="0" w:color="auto"/>
              <w:right w:val="single" w:sz="4" w:space="0" w:color="auto"/>
            </w:tcBorders>
            <w:vAlign w:val="center"/>
            <w:hideMark/>
          </w:tcPr>
          <w:p w:rsidR="006760EA" w:rsidRPr="00CE72E8" w:rsidRDefault="006760EA" w:rsidP="00DC5D7B">
            <w:pPr>
              <w:rPr>
                <w:color w:val="000000"/>
                <w:lang w:bidi="he-IL"/>
              </w:rPr>
            </w:pPr>
            <w:r w:rsidRPr="00CE72E8">
              <w:rPr>
                <w:color w:val="000000"/>
                <w:lang w:bidi="he-IL"/>
              </w:rPr>
              <w:t>Οικονομικό αποτέλεσμα ΟΠΔ (Ε) = (Δ) - (Γ.2)</w:t>
            </w:r>
          </w:p>
        </w:tc>
        <w:tc>
          <w:tcPr>
            <w:tcW w:w="160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5.310.668</w:t>
            </w:r>
          </w:p>
        </w:tc>
        <w:tc>
          <w:tcPr>
            <w:tcW w:w="148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3.336.881</w:t>
            </w:r>
          </w:p>
        </w:tc>
        <w:tc>
          <w:tcPr>
            <w:tcW w:w="1860" w:type="dxa"/>
            <w:tcBorders>
              <w:top w:val="nil"/>
              <w:left w:val="nil"/>
              <w:bottom w:val="single" w:sz="4" w:space="0" w:color="auto"/>
              <w:right w:val="single" w:sz="4" w:space="0" w:color="auto"/>
            </w:tcBorders>
            <w:noWrap/>
            <w:vAlign w:val="center"/>
            <w:hideMark/>
          </w:tcPr>
          <w:p w:rsidR="006760EA" w:rsidRPr="00CE72E8" w:rsidRDefault="006760EA" w:rsidP="00DC5D7B">
            <w:pPr>
              <w:jc w:val="center"/>
              <w:rPr>
                <w:color w:val="000000"/>
                <w:u w:val="single"/>
                <w:lang w:bidi="he-IL"/>
              </w:rPr>
            </w:pPr>
            <w:r w:rsidRPr="00CE72E8">
              <w:rPr>
                <w:color w:val="000000"/>
                <w:u w:val="single"/>
                <w:lang w:bidi="he-IL"/>
              </w:rPr>
              <w:t>-1.973.787</w:t>
            </w:r>
          </w:p>
        </w:tc>
      </w:tr>
    </w:tbl>
    <w:p w:rsidR="006760EA" w:rsidRDefault="006760EA" w:rsidP="006760EA">
      <w:pPr>
        <w:spacing w:before="120" w:after="120" w:line="360" w:lineRule="auto"/>
        <w:jc w:val="both"/>
      </w:pPr>
    </w:p>
    <w:p w:rsidR="006760EA" w:rsidRPr="00AA5D4D" w:rsidRDefault="006760EA" w:rsidP="006760EA">
      <w:pPr>
        <w:spacing w:before="120" w:after="120" w:line="360" w:lineRule="auto"/>
        <w:jc w:val="both"/>
        <w:rPr>
          <w:rFonts w:asciiTheme="minorHAnsi" w:hAnsiTheme="minorHAnsi" w:cstheme="minorHAnsi"/>
          <w:sz w:val="24"/>
          <w:szCs w:val="24"/>
        </w:rPr>
      </w:pPr>
      <w:r w:rsidRPr="00AA5D4D">
        <w:rPr>
          <w:rFonts w:asciiTheme="minorHAnsi" w:hAnsiTheme="minorHAnsi" w:cstheme="minorHAnsi"/>
          <w:sz w:val="24"/>
          <w:szCs w:val="24"/>
        </w:rPr>
        <w:t xml:space="preserve">Συνεπώς, η </w:t>
      </w:r>
      <w:r w:rsidRPr="00AA5D4D">
        <w:rPr>
          <w:rFonts w:asciiTheme="minorHAnsi" w:hAnsiTheme="minorHAnsi" w:cstheme="minorHAnsi"/>
          <w:b/>
          <w:bCs/>
          <w:sz w:val="24"/>
          <w:szCs w:val="24"/>
          <w:u w:val="single"/>
        </w:rPr>
        <w:t>ποσοστιαία απόκλιση του οικονομικού αποτελέσματος</w:t>
      </w:r>
      <w:r w:rsidRPr="00AA5D4D">
        <w:rPr>
          <w:rFonts w:asciiTheme="minorHAnsi" w:hAnsiTheme="minorHAnsi" w:cstheme="minorHAnsi"/>
          <w:sz w:val="24"/>
          <w:szCs w:val="24"/>
        </w:rPr>
        <w:t xml:space="preserve">  του ΟΠΔ 3ου τριμήνου του 2025 ανέρχεται σε  </w:t>
      </w:r>
      <w:r w:rsidRPr="00AA5D4D">
        <w:rPr>
          <w:rFonts w:asciiTheme="minorHAnsi" w:hAnsiTheme="minorHAnsi" w:cstheme="minorHAnsi"/>
          <w:b/>
          <w:bCs/>
          <w:sz w:val="24"/>
          <w:szCs w:val="24"/>
        </w:rPr>
        <w:t>- 8,57%</w:t>
      </w:r>
      <w:r w:rsidRPr="00AA5D4D">
        <w:rPr>
          <w:rFonts w:asciiTheme="minorHAnsi" w:hAnsiTheme="minorHAnsi" w:cstheme="minorHAnsi"/>
          <w:sz w:val="24"/>
          <w:szCs w:val="24"/>
        </w:rPr>
        <w:t>.</w:t>
      </w:r>
    </w:p>
    <w:tbl>
      <w:tblPr>
        <w:tblW w:w="7820" w:type="dxa"/>
        <w:jc w:val="center"/>
        <w:tblLook w:val="04A0"/>
      </w:tblPr>
      <w:tblGrid>
        <w:gridCol w:w="2100"/>
        <w:gridCol w:w="2520"/>
        <w:gridCol w:w="960"/>
        <w:gridCol w:w="1280"/>
        <w:gridCol w:w="960"/>
      </w:tblGrid>
      <w:tr w:rsidR="006760EA" w:rsidRPr="00AB02FA" w:rsidTr="00DC5D7B">
        <w:trPr>
          <w:trHeight w:val="800"/>
          <w:jc w:val="center"/>
        </w:trPr>
        <w:tc>
          <w:tcPr>
            <w:tcW w:w="2100" w:type="dxa"/>
            <w:vMerge w:val="restart"/>
            <w:tcBorders>
              <w:top w:val="double" w:sz="6" w:space="0" w:color="auto"/>
              <w:left w:val="double" w:sz="6" w:space="0" w:color="auto"/>
              <w:bottom w:val="double" w:sz="6" w:space="0" w:color="000000"/>
              <w:right w:val="single" w:sz="8" w:space="0" w:color="auto"/>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Ποσοστιαία απόκλιση οικονομικού αποτελέσματος Γ' τριμήνου 2025</w:t>
            </w:r>
          </w:p>
        </w:tc>
        <w:tc>
          <w:tcPr>
            <w:tcW w:w="2520" w:type="dxa"/>
            <w:tcBorders>
              <w:top w:val="double" w:sz="6" w:space="0" w:color="auto"/>
              <w:left w:val="nil"/>
              <w:bottom w:val="single" w:sz="12" w:space="0" w:color="auto"/>
              <w:right w:val="nil"/>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 xml:space="preserve">Απόκλιση </w:t>
            </w:r>
            <w:proofErr w:type="spellStart"/>
            <w:r w:rsidRPr="00AB02FA">
              <w:rPr>
                <w:color w:val="000000"/>
                <w:sz w:val="18"/>
                <w:szCs w:val="18"/>
                <w:lang w:bidi="he-IL"/>
              </w:rPr>
              <w:t>οικονομ</w:t>
            </w:r>
            <w:proofErr w:type="spellEnd"/>
            <w:r w:rsidRPr="00AB02FA">
              <w:rPr>
                <w:color w:val="000000"/>
                <w:sz w:val="18"/>
                <w:szCs w:val="18"/>
                <w:lang w:bidi="he-IL"/>
              </w:rPr>
              <w:t>. Αποτελέσματος ΟΠΔ</w:t>
            </w:r>
          </w:p>
        </w:tc>
        <w:tc>
          <w:tcPr>
            <w:tcW w:w="960" w:type="dxa"/>
            <w:tcBorders>
              <w:top w:val="double" w:sz="6" w:space="0" w:color="auto"/>
              <w:left w:val="nil"/>
              <w:bottom w:val="single" w:sz="12" w:space="0" w:color="auto"/>
              <w:right w:val="nil"/>
            </w:tcBorders>
            <w:noWrap/>
            <w:vAlign w:val="center"/>
            <w:hideMark/>
          </w:tcPr>
          <w:p w:rsidR="006760EA" w:rsidRPr="00AB02FA" w:rsidRDefault="006760EA" w:rsidP="00DC5D7B">
            <w:pPr>
              <w:rPr>
                <w:color w:val="000000"/>
                <w:sz w:val="18"/>
                <w:szCs w:val="18"/>
                <w:lang w:bidi="he-IL"/>
              </w:rPr>
            </w:pPr>
            <w:r w:rsidRPr="00AB02FA">
              <w:rPr>
                <w:color w:val="000000"/>
                <w:sz w:val="18"/>
                <w:szCs w:val="18"/>
                <w:lang w:bidi="he-IL"/>
              </w:rPr>
              <w:t>Χ 100</w:t>
            </w:r>
          </w:p>
        </w:tc>
        <w:tc>
          <w:tcPr>
            <w:tcW w:w="1280" w:type="dxa"/>
            <w:tcBorders>
              <w:top w:val="double" w:sz="6" w:space="0" w:color="auto"/>
              <w:left w:val="nil"/>
              <w:bottom w:val="single" w:sz="12" w:space="0" w:color="auto"/>
              <w:right w:val="single" w:sz="8" w:space="0" w:color="auto"/>
            </w:tcBorders>
            <w:noWrap/>
            <w:vAlign w:val="center"/>
            <w:hideMark/>
          </w:tcPr>
          <w:p w:rsidR="006760EA" w:rsidRPr="00AB02FA" w:rsidRDefault="006760EA" w:rsidP="00DC5D7B">
            <w:pPr>
              <w:jc w:val="right"/>
              <w:rPr>
                <w:color w:val="000000"/>
                <w:sz w:val="18"/>
                <w:szCs w:val="18"/>
                <w:lang w:bidi="he-IL"/>
              </w:rPr>
            </w:pPr>
            <w:r w:rsidRPr="00AB02FA">
              <w:rPr>
                <w:color w:val="000000"/>
                <w:sz w:val="18"/>
                <w:szCs w:val="18"/>
                <w:lang w:bidi="he-IL"/>
              </w:rPr>
              <w:t>-1.973.787</w:t>
            </w:r>
          </w:p>
        </w:tc>
        <w:tc>
          <w:tcPr>
            <w:tcW w:w="960" w:type="dxa"/>
            <w:vMerge w:val="restart"/>
            <w:tcBorders>
              <w:top w:val="double" w:sz="6" w:space="0" w:color="auto"/>
              <w:left w:val="single" w:sz="8" w:space="0" w:color="auto"/>
              <w:bottom w:val="double" w:sz="6" w:space="0" w:color="000000"/>
              <w:right w:val="double" w:sz="6" w:space="0" w:color="auto"/>
            </w:tcBorders>
            <w:noWrap/>
            <w:vAlign w:val="center"/>
            <w:hideMark/>
          </w:tcPr>
          <w:p w:rsidR="006760EA" w:rsidRPr="00AB02FA" w:rsidRDefault="006760EA" w:rsidP="00DC5D7B">
            <w:pPr>
              <w:jc w:val="center"/>
              <w:rPr>
                <w:b/>
                <w:bCs/>
                <w:color w:val="000000"/>
                <w:sz w:val="18"/>
                <w:szCs w:val="18"/>
                <w:lang w:bidi="he-IL"/>
              </w:rPr>
            </w:pPr>
            <w:r w:rsidRPr="00AB02FA">
              <w:rPr>
                <w:b/>
                <w:bCs/>
                <w:color w:val="000000"/>
                <w:sz w:val="18"/>
                <w:szCs w:val="18"/>
                <w:lang w:bidi="he-IL"/>
              </w:rPr>
              <w:t>-8,57%</w:t>
            </w:r>
          </w:p>
        </w:tc>
      </w:tr>
      <w:tr w:rsidR="006760EA" w:rsidRPr="00AB02FA" w:rsidTr="00DC5D7B">
        <w:trPr>
          <w:trHeight w:val="850"/>
          <w:jc w:val="center"/>
        </w:trPr>
        <w:tc>
          <w:tcPr>
            <w:tcW w:w="2100" w:type="dxa"/>
            <w:vMerge/>
            <w:tcBorders>
              <w:top w:val="double" w:sz="6" w:space="0" w:color="auto"/>
              <w:left w:val="double" w:sz="6" w:space="0" w:color="auto"/>
              <w:bottom w:val="double" w:sz="6" w:space="0" w:color="000000"/>
              <w:right w:val="single" w:sz="8" w:space="0" w:color="auto"/>
            </w:tcBorders>
            <w:vAlign w:val="center"/>
            <w:hideMark/>
          </w:tcPr>
          <w:p w:rsidR="006760EA" w:rsidRPr="00AB02FA" w:rsidRDefault="006760EA" w:rsidP="00DC5D7B">
            <w:pPr>
              <w:rPr>
                <w:color w:val="000000"/>
                <w:sz w:val="18"/>
                <w:szCs w:val="18"/>
                <w:lang w:bidi="he-IL"/>
              </w:rPr>
            </w:pPr>
          </w:p>
        </w:tc>
        <w:tc>
          <w:tcPr>
            <w:tcW w:w="2520" w:type="dxa"/>
            <w:tcBorders>
              <w:top w:val="single" w:sz="12" w:space="0" w:color="auto"/>
              <w:left w:val="nil"/>
              <w:bottom w:val="double" w:sz="6" w:space="0" w:color="auto"/>
              <w:right w:val="nil"/>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Στόχος συνόλου εσόδων και διαθεσίμων έναρξης</w:t>
            </w:r>
          </w:p>
        </w:tc>
        <w:tc>
          <w:tcPr>
            <w:tcW w:w="960" w:type="dxa"/>
            <w:tcBorders>
              <w:top w:val="nil"/>
              <w:left w:val="nil"/>
              <w:bottom w:val="double" w:sz="6" w:space="0" w:color="auto"/>
              <w:right w:val="nil"/>
            </w:tcBorders>
            <w:noWrap/>
            <w:vAlign w:val="center"/>
            <w:hideMark/>
          </w:tcPr>
          <w:p w:rsidR="006760EA" w:rsidRPr="00AB02FA" w:rsidRDefault="006760EA" w:rsidP="00DC5D7B">
            <w:pPr>
              <w:rPr>
                <w:color w:val="000000"/>
                <w:sz w:val="18"/>
                <w:szCs w:val="18"/>
                <w:lang w:bidi="he-IL"/>
              </w:rPr>
            </w:pPr>
            <w:r w:rsidRPr="00AB02FA">
              <w:rPr>
                <w:color w:val="000000"/>
                <w:sz w:val="18"/>
                <w:szCs w:val="18"/>
                <w:lang w:bidi="he-IL"/>
              </w:rPr>
              <w:t> </w:t>
            </w:r>
          </w:p>
        </w:tc>
        <w:tc>
          <w:tcPr>
            <w:tcW w:w="1280" w:type="dxa"/>
            <w:tcBorders>
              <w:top w:val="nil"/>
              <w:left w:val="nil"/>
              <w:bottom w:val="double" w:sz="6" w:space="0" w:color="auto"/>
              <w:right w:val="single" w:sz="8" w:space="0" w:color="auto"/>
            </w:tcBorders>
            <w:noWrap/>
            <w:vAlign w:val="center"/>
            <w:hideMark/>
          </w:tcPr>
          <w:p w:rsidR="006760EA" w:rsidRPr="00AB02FA" w:rsidRDefault="006760EA" w:rsidP="00DC5D7B">
            <w:pPr>
              <w:jc w:val="right"/>
              <w:rPr>
                <w:color w:val="000000"/>
                <w:sz w:val="18"/>
                <w:szCs w:val="18"/>
                <w:lang w:bidi="he-IL"/>
              </w:rPr>
            </w:pPr>
            <w:r w:rsidRPr="00AB02FA">
              <w:rPr>
                <w:color w:val="000000"/>
                <w:sz w:val="18"/>
                <w:szCs w:val="18"/>
                <w:lang w:bidi="he-IL"/>
              </w:rPr>
              <w:t>23.039.647</w:t>
            </w:r>
          </w:p>
        </w:tc>
        <w:tc>
          <w:tcPr>
            <w:tcW w:w="960" w:type="dxa"/>
            <w:vMerge/>
            <w:tcBorders>
              <w:top w:val="double" w:sz="6" w:space="0" w:color="auto"/>
              <w:left w:val="single" w:sz="8" w:space="0" w:color="auto"/>
              <w:bottom w:val="double" w:sz="6" w:space="0" w:color="000000"/>
              <w:right w:val="double" w:sz="6" w:space="0" w:color="auto"/>
            </w:tcBorders>
            <w:vAlign w:val="center"/>
            <w:hideMark/>
          </w:tcPr>
          <w:p w:rsidR="006760EA" w:rsidRPr="00AB02FA" w:rsidRDefault="006760EA" w:rsidP="00DC5D7B">
            <w:pPr>
              <w:rPr>
                <w:b/>
                <w:bCs/>
                <w:color w:val="000000"/>
                <w:sz w:val="18"/>
                <w:szCs w:val="18"/>
                <w:lang w:bidi="he-IL"/>
              </w:rPr>
            </w:pPr>
          </w:p>
        </w:tc>
      </w:tr>
    </w:tbl>
    <w:p w:rsidR="006760EA" w:rsidRDefault="006760EA" w:rsidP="006760EA">
      <w:pPr>
        <w:spacing w:before="120" w:after="120" w:line="360" w:lineRule="auto"/>
        <w:jc w:val="both"/>
      </w:pPr>
    </w:p>
    <w:p w:rsidR="006760EA" w:rsidRPr="00AA5D4D" w:rsidRDefault="006760EA" w:rsidP="006760EA">
      <w:pPr>
        <w:spacing w:before="120" w:after="120" w:line="360" w:lineRule="auto"/>
        <w:rPr>
          <w:rFonts w:asciiTheme="minorHAnsi" w:hAnsiTheme="minorHAnsi" w:cstheme="minorHAnsi"/>
          <w:sz w:val="24"/>
          <w:szCs w:val="24"/>
          <w:u w:val="single"/>
        </w:rPr>
      </w:pPr>
      <w:r w:rsidRPr="00AA5D4D">
        <w:rPr>
          <w:rFonts w:asciiTheme="minorHAnsi" w:hAnsiTheme="minorHAnsi" w:cstheme="minorHAnsi"/>
          <w:sz w:val="24"/>
          <w:szCs w:val="24"/>
          <w:u w:val="single"/>
        </w:rPr>
        <w:t>Ερμηνεία απόκλισης</w:t>
      </w:r>
    </w:p>
    <w:p w:rsidR="006760EA" w:rsidRPr="00AA5D4D" w:rsidRDefault="006760EA" w:rsidP="006760EA">
      <w:pPr>
        <w:spacing w:before="120" w:after="120" w:line="360" w:lineRule="auto"/>
        <w:jc w:val="both"/>
        <w:rPr>
          <w:rFonts w:asciiTheme="minorHAnsi" w:hAnsiTheme="minorHAnsi" w:cstheme="minorHAnsi"/>
          <w:sz w:val="24"/>
          <w:szCs w:val="24"/>
        </w:rPr>
      </w:pPr>
      <w:r w:rsidRPr="00AA5D4D">
        <w:rPr>
          <w:rFonts w:asciiTheme="minorHAnsi" w:hAnsiTheme="minorHAnsi" w:cstheme="minorHAnsi"/>
          <w:sz w:val="24"/>
          <w:szCs w:val="24"/>
        </w:rPr>
        <w:t>Κατά την κατάρτιση του ΟΠΔ, ο δήμος είχε θέσει ως στόχο, στις 30/9/2025 το ύψος των διαθεσίμων του να επαρκεί για τη χρηματοδότηση των απλήρωτων υποχρεώσεων του και ταυτόχρονα να έχει συγκεντρωθεί ένα ποσό ύψους 5.310.668€ για την εξόφληση μελλοντικών υποχρεώσεων. Από την εκτέλεση του προϋπολογισμού προέκυψε πλεόνασμα χρηματοδότησης των απλήρωτων υποχρεώσεων κατά το ποσό των 3.336.871€. Συνεπώς, η απόκλιση από τον αρχικό στόχο είναι αρνητική και ανέρχεται σε –1.973.787€ που αντιστοιχεί στο -8,57% του στόχου των ταμειακών</w:t>
      </w:r>
      <w:r w:rsidRPr="00AA5D4D">
        <w:rPr>
          <w:rFonts w:asciiTheme="minorHAnsi" w:hAnsiTheme="minorHAnsi" w:cstheme="minorHAnsi"/>
          <w:sz w:val="24"/>
          <w:szCs w:val="24"/>
        </w:rPr>
        <w:br/>
        <w:t>εισροών 23.039.647€ (σύνολο εσόδων και διαθέσιμα έναρξης) που έχει τεθεί στο ΟΠΔ.</w:t>
      </w:r>
    </w:p>
    <w:p w:rsidR="006760EA" w:rsidRDefault="006760EA" w:rsidP="006760EA">
      <w:pPr>
        <w:spacing w:before="120" w:after="120" w:line="360" w:lineRule="auto"/>
        <w:jc w:val="center"/>
        <w:rPr>
          <w:b/>
        </w:rPr>
      </w:pPr>
    </w:p>
    <w:p w:rsidR="006760EA" w:rsidRDefault="006760EA" w:rsidP="006760EA">
      <w:pPr>
        <w:spacing w:before="120" w:after="120" w:line="360" w:lineRule="auto"/>
        <w:jc w:val="both"/>
      </w:pPr>
      <w:r w:rsidRPr="005549DB">
        <w:t xml:space="preserve">Η αντίστοιχη ποσοστιαία </w:t>
      </w:r>
      <w:r w:rsidRPr="005549DB">
        <w:rPr>
          <w:b/>
          <w:bCs/>
          <w:u w:val="single"/>
        </w:rPr>
        <w:t>απόκλιση των ιδίων εσόδων και των εσόδων ΠΟΕ</w:t>
      </w:r>
      <w:r w:rsidRPr="005549DB">
        <w:t xml:space="preserve"> ανέρχεται σε </w:t>
      </w:r>
      <w:r>
        <w:t xml:space="preserve"> + 7,79%</w:t>
      </w:r>
    </w:p>
    <w:tbl>
      <w:tblPr>
        <w:tblW w:w="7820" w:type="dxa"/>
        <w:jc w:val="center"/>
        <w:tblLook w:val="04A0"/>
      </w:tblPr>
      <w:tblGrid>
        <w:gridCol w:w="2100"/>
        <w:gridCol w:w="2520"/>
        <w:gridCol w:w="960"/>
        <w:gridCol w:w="1280"/>
        <w:gridCol w:w="960"/>
      </w:tblGrid>
      <w:tr w:rsidR="006760EA" w:rsidRPr="00AB02FA" w:rsidTr="00DC5D7B">
        <w:trPr>
          <w:trHeight w:val="930"/>
          <w:jc w:val="center"/>
        </w:trPr>
        <w:tc>
          <w:tcPr>
            <w:tcW w:w="2100" w:type="dxa"/>
            <w:vMerge w:val="restart"/>
            <w:tcBorders>
              <w:top w:val="double" w:sz="6" w:space="0" w:color="auto"/>
              <w:left w:val="double" w:sz="6" w:space="0" w:color="auto"/>
              <w:bottom w:val="double" w:sz="6" w:space="0" w:color="000000"/>
              <w:right w:val="single" w:sz="8" w:space="0" w:color="auto"/>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Ποσοστιαία απόκλιση ιδίων εσόδων και εσόδων ΠΟΕ Γ' τριμήνου 2025</w:t>
            </w:r>
          </w:p>
        </w:tc>
        <w:tc>
          <w:tcPr>
            <w:tcW w:w="2520" w:type="dxa"/>
            <w:tcBorders>
              <w:top w:val="double" w:sz="6" w:space="0" w:color="auto"/>
              <w:left w:val="nil"/>
              <w:bottom w:val="single" w:sz="12" w:space="0" w:color="auto"/>
              <w:right w:val="nil"/>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Απόκλιση Ιδίων Εσόδων και Εσόδων ΠΟΕ</w:t>
            </w:r>
          </w:p>
        </w:tc>
        <w:tc>
          <w:tcPr>
            <w:tcW w:w="960" w:type="dxa"/>
            <w:tcBorders>
              <w:top w:val="double" w:sz="6" w:space="0" w:color="auto"/>
              <w:left w:val="nil"/>
              <w:bottom w:val="single" w:sz="12" w:space="0" w:color="auto"/>
              <w:right w:val="nil"/>
            </w:tcBorders>
            <w:noWrap/>
            <w:vAlign w:val="center"/>
            <w:hideMark/>
          </w:tcPr>
          <w:p w:rsidR="006760EA" w:rsidRPr="00AB02FA" w:rsidRDefault="006760EA" w:rsidP="00DC5D7B">
            <w:pPr>
              <w:rPr>
                <w:color w:val="000000"/>
                <w:sz w:val="18"/>
                <w:szCs w:val="18"/>
                <w:lang w:bidi="he-IL"/>
              </w:rPr>
            </w:pPr>
            <w:r w:rsidRPr="00AB02FA">
              <w:rPr>
                <w:color w:val="000000"/>
                <w:sz w:val="18"/>
                <w:szCs w:val="18"/>
                <w:lang w:bidi="he-IL"/>
              </w:rPr>
              <w:t>Χ 100</w:t>
            </w:r>
          </w:p>
        </w:tc>
        <w:tc>
          <w:tcPr>
            <w:tcW w:w="1280" w:type="dxa"/>
            <w:tcBorders>
              <w:top w:val="double" w:sz="6" w:space="0" w:color="auto"/>
              <w:left w:val="nil"/>
              <w:bottom w:val="single" w:sz="12" w:space="0" w:color="auto"/>
              <w:right w:val="single" w:sz="8" w:space="0" w:color="auto"/>
            </w:tcBorders>
            <w:noWrap/>
            <w:vAlign w:val="center"/>
            <w:hideMark/>
          </w:tcPr>
          <w:p w:rsidR="006760EA" w:rsidRPr="00AB02FA" w:rsidRDefault="006760EA" w:rsidP="00DC5D7B">
            <w:pPr>
              <w:jc w:val="right"/>
              <w:rPr>
                <w:color w:val="000000"/>
                <w:sz w:val="18"/>
                <w:szCs w:val="18"/>
                <w:lang w:bidi="he-IL"/>
              </w:rPr>
            </w:pPr>
            <w:r w:rsidRPr="00AB02FA">
              <w:rPr>
                <w:color w:val="000000"/>
                <w:sz w:val="18"/>
                <w:szCs w:val="18"/>
                <w:lang w:bidi="he-IL"/>
              </w:rPr>
              <w:t>257.000</w:t>
            </w:r>
          </w:p>
        </w:tc>
        <w:tc>
          <w:tcPr>
            <w:tcW w:w="960" w:type="dxa"/>
            <w:vMerge w:val="restart"/>
            <w:tcBorders>
              <w:top w:val="double" w:sz="6" w:space="0" w:color="auto"/>
              <w:left w:val="single" w:sz="8" w:space="0" w:color="auto"/>
              <w:bottom w:val="double" w:sz="6" w:space="0" w:color="000000"/>
              <w:right w:val="double" w:sz="6" w:space="0" w:color="auto"/>
            </w:tcBorders>
            <w:noWrap/>
            <w:vAlign w:val="center"/>
            <w:hideMark/>
          </w:tcPr>
          <w:p w:rsidR="006760EA" w:rsidRPr="00AB02FA" w:rsidRDefault="006760EA" w:rsidP="00DC5D7B">
            <w:pPr>
              <w:jc w:val="center"/>
              <w:rPr>
                <w:b/>
                <w:bCs/>
                <w:color w:val="000000"/>
                <w:sz w:val="18"/>
                <w:szCs w:val="18"/>
                <w:lang w:bidi="he-IL"/>
              </w:rPr>
            </w:pPr>
            <w:r w:rsidRPr="00AB02FA">
              <w:rPr>
                <w:b/>
                <w:bCs/>
                <w:color w:val="000000"/>
                <w:sz w:val="18"/>
                <w:szCs w:val="18"/>
                <w:lang w:bidi="he-IL"/>
              </w:rPr>
              <w:t>7,79%</w:t>
            </w:r>
          </w:p>
        </w:tc>
      </w:tr>
      <w:tr w:rsidR="006760EA" w:rsidRPr="00AB02FA" w:rsidTr="00DC5D7B">
        <w:trPr>
          <w:trHeight w:val="810"/>
          <w:jc w:val="center"/>
        </w:trPr>
        <w:tc>
          <w:tcPr>
            <w:tcW w:w="2100" w:type="dxa"/>
            <w:vMerge/>
            <w:tcBorders>
              <w:top w:val="double" w:sz="6" w:space="0" w:color="auto"/>
              <w:left w:val="double" w:sz="6" w:space="0" w:color="auto"/>
              <w:bottom w:val="double" w:sz="6" w:space="0" w:color="000000"/>
              <w:right w:val="single" w:sz="8" w:space="0" w:color="auto"/>
            </w:tcBorders>
            <w:vAlign w:val="center"/>
            <w:hideMark/>
          </w:tcPr>
          <w:p w:rsidR="006760EA" w:rsidRPr="00AB02FA" w:rsidRDefault="006760EA" w:rsidP="00DC5D7B">
            <w:pPr>
              <w:rPr>
                <w:color w:val="000000"/>
                <w:sz w:val="18"/>
                <w:szCs w:val="18"/>
                <w:lang w:bidi="he-IL"/>
              </w:rPr>
            </w:pPr>
          </w:p>
        </w:tc>
        <w:tc>
          <w:tcPr>
            <w:tcW w:w="2520" w:type="dxa"/>
            <w:tcBorders>
              <w:top w:val="single" w:sz="12" w:space="0" w:color="auto"/>
              <w:left w:val="nil"/>
              <w:bottom w:val="double" w:sz="6" w:space="0" w:color="auto"/>
              <w:right w:val="nil"/>
            </w:tcBorders>
            <w:vAlign w:val="center"/>
            <w:hideMark/>
          </w:tcPr>
          <w:p w:rsidR="006760EA" w:rsidRPr="00AB02FA" w:rsidRDefault="006760EA" w:rsidP="00DC5D7B">
            <w:pPr>
              <w:jc w:val="center"/>
              <w:rPr>
                <w:color w:val="000000"/>
                <w:sz w:val="18"/>
                <w:szCs w:val="18"/>
                <w:lang w:bidi="he-IL"/>
              </w:rPr>
            </w:pPr>
            <w:r w:rsidRPr="00AB02FA">
              <w:rPr>
                <w:color w:val="000000"/>
                <w:sz w:val="18"/>
                <w:szCs w:val="18"/>
                <w:lang w:bidi="he-IL"/>
              </w:rPr>
              <w:t>Στόχος Ιδίων Εσόδων και Εσόδων ΠΟΕ</w:t>
            </w:r>
          </w:p>
        </w:tc>
        <w:tc>
          <w:tcPr>
            <w:tcW w:w="960" w:type="dxa"/>
            <w:tcBorders>
              <w:top w:val="nil"/>
              <w:left w:val="nil"/>
              <w:bottom w:val="double" w:sz="6" w:space="0" w:color="auto"/>
              <w:right w:val="nil"/>
            </w:tcBorders>
            <w:noWrap/>
            <w:vAlign w:val="center"/>
            <w:hideMark/>
          </w:tcPr>
          <w:p w:rsidR="006760EA" w:rsidRPr="00AB02FA" w:rsidRDefault="006760EA" w:rsidP="00DC5D7B">
            <w:pPr>
              <w:rPr>
                <w:color w:val="000000"/>
                <w:sz w:val="18"/>
                <w:szCs w:val="18"/>
                <w:lang w:bidi="he-IL"/>
              </w:rPr>
            </w:pPr>
            <w:r w:rsidRPr="00AB02FA">
              <w:rPr>
                <w:color w:val="000000"/>
                <w:sz w:val="18"/>
                <w:szCs w:val="18"/>
                <w:lang w:bidi="he-IL"/>
              </w:rPr>
              <w:t> </w:t>
            </w:r>
          </w:p>
        </w:tc>
        <w:tc>
          <w:tcPr>
            <w:tcW w:w="1280" w:type="dxa"/>
            <w:tcBorders>
              <w:top w:val="nil"/>
              <w:left w:val="nil"/>
              <w:bottom w:val="double" w:sz="6" w:space="0" w:color="auto"/>
              <w:right w:val="single" w:sz="8" w:space="0" w:color="auto"/>
            </w:tcBorders>
            <w:noWrap/>
            <w:vAlign w:val="center"/>
            <w:hideMark/>
          </w:tcPr>
          <w:p w:rsidR="006760EA" w:rsidRPr="00AB02FA" w:rsidRDefault="006760EA" w:rsidP="00DC5D7B">
            <w:pPr>
              <w:jc w:val="right"/>
              <w:rPr>
                <w:color w:val="000000"/>
                <w:sz w:val="18"/>
                <w:szCs w:val="18"/>
                <w:lang w:bidi="he-IL"/>
              </w:rPr>
            </w:pPr>
            <w:r w:rsidRPr="00AB02FA">
              <w:rPr>
                <w:color w:val="000000"/>
                <w:sz w:val="18"/>
                <w:szCs w:val="18"/>
                <w:lang w:bidi="he-IL"/>
              </w:rPr>
              <w:t>3.298.342</w:t>
            </w:r>
          </w:p>
        </w:tc>
        <w:tc>
          <w:tcPr>
            <w:tcW w:w="960" w:type="dxa"/>
            <w:vMerge/>
            <w:tcBorders>
              <w:top w:val="double" w:sz="6" w:space="0" w:color="auto"/>
              <w:left w:val="single" w:sz="8" w:space="0" w:color="auto"/>
              <w:bottom w:val="double" w:sz="6" w:space="0" w:color="000000"/>
              <w:right w:val="double" w:sz="6" w:space="0" w:color="auto"/>
            </w:tcBorders>
            <w:vAlign w:val="center"/>
            <w:hideMark/>
          </w:tcPr>
          <w:p w:rsidR="006760EA" w:rsidRPr="00AB02FA" w:rsidRDefault="006760EA" w:rsidP="00DC5D7B">
            <w:pPr>
              <w:rPr>
                <w:b/>
                <w:bCs/>
                <w:color w:val="000000"/>
                <w:sz w:val="18"/>
                <w:szCs w:val="18"/>
                <w:lang w:bidi="he-IL"/>
              </w:rPr>
            </w:pPr>
          </w:p>
        </w:tc>
      </w:tr>
    </w:tbl>
    <w:p w:rsidR="006760EA" w:rsidRDefault="006760EA" w:rsidP="006760EA">
      <w:pPr>
        <w:spacing w:before="120" w:after="120" w:line="360" w:lineRule="auto"/>
        <w:jc w:val="center"/>
        <w:rPr>
          <w:b/>
        </w:rPr>
      </w:pPr>
    </w:p>
    <w:p w:rsidR="006760EA" w:rsidRPr="00AA5D4D" w:rsidRDefault="006760EA" w:rsidP="006760EA">
      <w:pPr>
        <w:spacing w:before="120" w:after="120" w:line="360" w:lineRule="auto"/>
        <w:rPr>
          <w:rFonts w:ascii="Calibri" w:hAnsi="Calibri" w:cs="Calibri"/>
          <w:sz w:val="24"/>
          <w:szCs w:val="24"/>
          <w:u w:val="single"/>
        </w:rPr>
      </w:pPr>
      <w:r w:rsidRPr="00AA5D4D">
        <w:rPr>
          <w:rFonts w:ascii="Calibri" w:hAnsi="Calibri" w:cs="Calibri"/>
          <w:sz w:val="24"/>
          <w:szCs w:val="24"/>
          <w:u w:val="single"/>
        </w:rPr>
        <w:t>Ερμηνεία απόκλισης</w:t>
      </w:r>
    </w:p>
    <w:p w:rsidR="006760EA" w:rsidRPr="00AA5D4D" w:rsidRDefault="006760EA" w:rsidP="006760EA">
      <w:pPr>
        <w:spacing w:before="120" w:after="120" w:line="360" w:lineRule="auto"/>
        <w:jc w:val="both"/>
        <w:rPr>
          <w:rFonts w:ascii="Calibri" w:hAnsi="Calibri" w:cs="Calibri"/>
          <w:sz w:val="24"/>
          <w:szCs w:val="24"/>
        </w:rPr>
      </w:pPr>
      <w:r w:rsidRPr="00AA5D4D">
        <w:rPr>
          <w:rFonts w:ascii="Calibri" w:hAnsi="Calibri" w:cs="Calibri"/>
          <w:sz w:val="24"/>
          <w:szCs w:val="24"/>
        </w:rPr>
        <w:t xml:space="preserve">Κατά την κατάρτιση του ΟΠΔ, ο δήμος είχε θέσει στόχο να εισπράξει στο 9μηνο του έτους το ποσό των 3.298.342€ από ίδια έσοδα και έσοδα ΠΟΕ. </w:t>
      </w:r>
      <w:proofErr w:type="spellStart"/>
      <w:r w:rsidRPr="00AA5D4D">
        <w:rPr>
          <w:rFonts w:ascii="Calibri" w:hAnsi="Calibri" w:cs="Calibri"/>
          <w:sz w:val="24"/>
          <w:szCs w:val="24"/>
        </w:rPr>
        <w:t>Τελικά,κατά</w:t>
      </w:r>
      <w:proofErr w:type="spellEnd"/>
      <w:r w:rsidRPr="00AA5D4D">
        <w:rPr>
          <w:rFonts w:ascii="Calibri" w:hAnsi="Calibri" w:cs="Calibri"/>
          <w:sz w:val="24"/>
          <w:szCs w:val="24"/>
        </w:rPr>
        <w:t xml:space="preserve"> την εκτέλεση του προϋπολογισμού, συγκέντρωσε το ποσό των 3.555.342€. Συνεπώς, η απόκλιση επί του αρχικού στόχου ανέρχεται σε + 257.000€ ή στο +7,79% του στόχου που έχει τεθεί στο ΟΠΔ.</w:t>
      </w:r>
    </w:p>
    <w:p w:rsidR="006760EA" w:rsidRPr="00AA5D4D" w:rsidRDefault="006760EA" w:rsidP="006760EA">
      <w:pPr>
        <w:spacing w:before="120" w:after="120" w:line="360" w:lineRule="auto"/>
        <w:jc w:val="both"/>
        <w:rPr>
          <w:rFonts w:ascii="Calibri" w:hAnsi="Calibri" w:cs="Calibri"/>
          <w:bCs/>
          <w:sz w:val="24"/>
          <w:szCs w:val="24"/>
        </w:rPr>
      </w:pPr>
      <w:r w:rsidRPr="00AA5D4D">
        <w:rPr>
          <w:rFonts w:ascii="Calibri" w:hAnsi="Calibri" w:cs="Calibri"/>
          <w:bCs/>
          <w:sz w:val="24"/>
          <w:szCs w:val="24"/>
        </w:rPr>
        <w:t>Κατά τον ίδια μεθοδολογία διαμορφώνονται και οι αποκλίσεις από τον στόχο του ΟΠΔ για το 9μηνο του 2025, οι κατωτέρω δείκτες:</w:t>
      </w:r>
    </w:p>
    <w:tbl>
      <w:tblPr>
        <w:tblW w:w="7820" w:type="dxa"/>
        <w:jc w:val="center"/>
        <w:tblLook w:val="04A0"/>
      </w:tblPr>
      <w:tblGrid>
        <w:gridCol w:w="2100"/>
        <w:gridCol w:w="2520"/>
        <w:gridCol w:w="960"/>
        <w:gridCol w:w="1280"/>
        <w:gridCol w:w="960"/>
      </w:tblGrid>
      <w:tr w:rsidR="006760EA" w:rsidRPr="00B021FB" w:rsidTr="00DC5D7B">
        <w:trPr>
          <w:trHeight w:val="660"/>
          <w:jc w:val="center"/>
        </w:trPr>
        <w:tc>
          <w:tcPr>
            <w:tcW w:w="2100" w:type="dxa"/>
            <w:vMerge w:val="restart"/>
            <w:tcBorders>
              <w:top w:val="double" w:sz="6" w:space="0" w:color="auto"/>
              <w:left w:val="double" w:sz="6" w:space="0" w:color="auto"/>
              <w:bottom w:val="double" w:sz="6" w:space="0" w:color="000000"/>
              <w:right w:val="single" w:sz="8" w:space="0" w:color="auto"/>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 xml:space="preserve">Ποσοστιαία απόκλιση επιχορηγήσεων από τακτικό </w:t>
            </w:r>
            <w:proofErr w:type="spellStart"/>
            <w:r w:rsidRPr="00B021FB">
              <w:rPr>
                <w:color w:val="000000"/>
                <w:sz w:val="18"/>
                <w:szCs w:val="18"/>
                <w:lang w:bidi="he-IL"/>
              </w:rPr>
              <w:t>προυπ</w:t>
            </w:r>
            <w:proofErr w:type="spellEnd"/>
            <w:r w:rsidRPr="00B021FB">
              <w:rPr>
                <w:color w:val="000000"/>
                <w:sz w:val="18"/>
                <w:szCs w:val="18"/>
                <w:lang w:bidi="he-IL"/>
              </w:rPr>
              <w:t>/</w:t>
            </w:r>
            <w:proofErr w:type="spellStart"/>
            <w:r w:rsidRPr="00B021FB">
              <w:rPr>
                <w:color w:val="000000"/>
                <w:sz w:val="18"/>
                <w:szCs w:val="18"/>
                <w:lang w:bidi="he-IL"/>
              </w:rPr>
              <w:t>σμό</w:t>
            </w:r>
            <w:proofErr w:type="spellEnd"/>
            <w:r w:rsidRPr="00B021FB">
              <w:rPr>
                <w:color w:val="000000"/>
                <w:sz w:val="18"/>
                <w:szCs w:val="18"/>
                <w:lang w:bidi="he-IL"/>
              </w:rPr>
              <w:t xml:space="preserve"> Γ' τριμήνου 2025</w:t>
            </w:r>
          </w:p>
        </w:tc>
        <w:tc>
          <w:tcPr>
            <w:tcW w:w="2520" w:type="dxa"/>
            <w:tcBorders>
              <w:top w:val="double" w:sz="6" w:space="0" w:color="auto"/>
              <w:left w:val="nil"/>
              <w:bottom w:val="single" w:sz="12"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 xml:space="preserve">Απόκλιση επιχορηγήσεων από τακτικό </w:t>
            </w:r>
            <w:proofErr w:type="spellStart"/>
            <w:r w:rsidRPr="00B021FB">
              <w:rPr>
                <w:color w:val="000000"/>
                <w:sz w:val="18"/>
                <w:szCs w:val="18"/>
                <w:lang w:bidi="he-IL"/>
              </w:rPr>
              <w:t>προυπ</w:t>
            </w:r>
            <w:proofErr w:type="spellEnd"/>
            <w:r w:rsidRPr="00B021FB">
              <w:rPr>
                <w:color w:val="000000"/>
                <w:sz w:val="18"/>
                <w:szCs w:val="18"/>
                <w:lang w:bidi="he-IL"/>
              </w:rPr>
              <w:t>/</w:t>
            </w:r>
            <w:proofErr w:type="spellStart"/>
            <w:r w:rsidRPr="00B021FB">
              <w:rPr>
                <w:color w:val="000000"/>
                <w:sz w:val="18"/>
                <w:szCs w:val="18"/>
                <w:lang w:bidi="he-IL"/>
              </w:rPr>
              <w:t>σμό</w:t>
            </w:r>
            <w:proofErr w:type="spellEnd"/>
          </w:p>
        </w:tc>
        <w:tc>
          <w:tcPr>
            <w:tcW w:w="960" w:type="dxa"/>
            <w:tcBorders>
              <w:top w:val="double" w:sz="6" w:space="0" w:color="auto"/>
              <w:left w:val="nil"/>
              <w:bottom w:val="single" w:sz="12"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Χ 100</w:t>
            </w:r>
          </w:p>
        </w:tc>
        <w:tc>
          <w:tcPr>
            <w:tcW w:w="1280" w:type="dxa"/>
            <w:tcBorders>
              <w:top w:val="double" w:sz="6" w:space="0" w:color="auto"/>
              <w:left w:val="nil"/>
              <w:bottom w:val="single" w:sz="12"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146.845</w:t>
            </w:r>
          </w:p>
        </w:tc>
        <w:tc>
          <w:tcPr>
            <w:tcW w:w="960" w:type="dxa"/>
            <w:vMerge w:val="restart"/>
            <w:tcBorders>
              <w:top w:val="double" w:sz="6" w:space="0" w:color="auto"/>
              <w:left w:val="single" w:sz="8" w:space="0" w:color="auto"/>
              <w:bottom w:val="double" w:sz="6" w:space="0" w:color="000000"/>
              <w:right w:val="double" w:sz="6" w:space="0" w:color="auto"/>
            </w:tcBorders>
            <w:noWrap/>
            <w:vAlign w:val="center"/>
            <w:hideMark/>
          </w:tcPr>
          <w:p w:rsidR="006760EA" w:rsidRPr="00B021FB" w:rsidRDefault="006760EA" w:rsidP="00DC5D7B">
            <w:pPr>
              <w:jc w:val="center"/>
              <w:rPr>
                <w:b/>
                <w:bCs/>
                <w:color w:val="000000"/>
                <w:sz w:val="18"/>
                <w:szCs w:val="18"/>
                <w:lang w:bidi="he-IL"/>
              </w:rPr>
            </w:pPr>
            <w:r w:rsidRPr="00B021FB">
              <w:rPr>
                <w:b/>
                <w:bCs/>
                <w:color w:val="000000"/>
                <w:sz w:val="18"/>
                <w:szCs w:val="18"/>
                <w:lang w:bidi="he-IL"/>
              </w:rPr>
              <w:t>2,43%</w:t>
            </w:r>
          </w:p>
        </w:tc>
      </w:tr>
      <w:tr w:rsidR="006760EA" w:rsidRPr="00B021FB" w:rsidTr="00DC5D7B">
        <w:trPr>
          <w:trHeight w:val="800"/>
          <w:jc w:val="center"/>
        </w:trPr>
        <w:tc>
          <w:tcPr>
            <w:tcW w:w="2100" w:type="dxa"/>
            <w:vMerge/>
            <w:tcBorders>
              <w:top w:val="double" w:sz="6" w:space="0" w:color="auto"/>
              <w:left w:val="double" w:sz="6" w:space="0" w:color="auto"/>
              <w:bottom w:val="double" w:sz="6" w:space="0" w:color="000000"/>
              <w:right w:val="single" w:sz="8" w:space="0" w:color="auto"/>
            </w:tcBorders>
            <w:vAlign w:val="center"/>
            <w:hideMark/>
          </w:tcPr>
          <w:p w:rsidR="006760EA" w:rsidRPr="00B021FB" w:rsidRDefault="006760EA" w:rsidP="00DC5D7B">
            <w:pPr>
              <w:rPr>
                <w:color w:val="000000"/>
                <w:sz w:val="18"/>
                <w:szCs w:val="18"/>
                <w:lang w:bidi="he-IL"/>
              </w:rPr>
            </w:pPr>
          </w:p>
        </w:tc>
        <w:tc>
          <w:tcPr>
            <w:tcW w:w="2520" w:type="dxa"/>
            <w:tcBorders>
              <w:top w:val="single" w:sz="12" w:space="0" w:color="auto"/>
              <w:left w:val="nil"/>
              <w:bottom w:val="double" w:sz="6"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 xml:space="preserve">Στόχος Επιχορηγήσεων από τακτικό </w:t>
            </w:r>
            <w:proofErr w:type="spellStart"/>
            <w:r w:rsidRPr="00B021FB">
              <w:rPr>
                <w:color w:val="000000"/>
                <w:sz w:val="18"/>
                <w:szCs w:val="18"/>
                <w:lang w:bidi="he-IL"/>
              </w:rPr>
              <w:t>προυπ</w:t>
            </w:r>
            <w:proofErr w:type="spellEnd"/>
            <w:r w:rsidRPr="00B021FB">
              <w:rPr>
                <w:color w:val="000000"/>
                <w:sz w:val="18"/>
                <w:szCs w:val="18"/>
                <w:lang w:bidi="he-IL"/>
              </w:rPr>
              <w:t>/</w:t>
            </w:r>
            <w:proofErr w:type="spellStart"/>
            <w:r w:rsidRPr="00B021FB">
              <w:rPr>
                <w:color w:val="000000"/>
                <w:sz w:val="18"/>
                <w:szCs w:val="18"/>
                <w:lang w:bidi="he-IL"/>
              </w:rPr>
              <w:t>σμό</w:t>
            </w:r>
            <w:proofErr w:type="spellEnd"/>
          </w:p>
        </w:tc>
        <w:tc>
          <w:tcPr>
            <w:tcW w:w="960" w:type="dxa"/>
            <w:tcBorders>
              <w:top w:val="nil"/>
              <w:left w:val="nil"/>
              <w:bottom w:val="double" w:sz="6"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 </w:t>
            </w:r>
          </w:p>
        </w:tc>
        <w:tc>
          <w:tcPr>
            <w:tcW w:w="1280" w:type="dxa"/>
            <w:tcBorders>
              <w:top w:val="nil"/>
              <w:left w:val="nil"/>
              <w:bottom w:val="double" w:sz="6"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6.044.748</w:t>
            </w:r>
          </w:p>
        </w:tc>
        <w:tc>
          <w:tcPr>
            <w:tcW w:w="960" w:type="dxa"/>
            <w:vMerge/>
            <w:tcBorders>
              <w:top w:val="double" w:sz="6" w:space="0" w:color="auto"/>
              <w:left w:val="single" w:sz="8" w:space="0" w:color="auto"/>
              <w:bottom w:val="double" w:sz="6" w:space="0" w:color="000000"/>
              <w:right w:val="double" w:sz="6" w:space="0" w:color="auto"/>
            </w:tcBorders>
            <w:vAlign w:val="center"/>
            <w:hideMark/>
          </w:tcPr>
          <w:p w:rsidR="006760EA" w:rsidRPr="00B021FB" w:rsidRDefault="006760EA" w:rsidP="00DC5D7B">
            <w:pPr>
              <w:rPr>
                <w:b/>
                <w:bCs/>
                <w:color w:val="000000"/>
                <w:sz w:val="18"/>
                <w:szCs w:val="18"/>
                <w:lang w:bidi="he-IL"/>
              </w:rPr>
            </w:pPr>
          </w:p>
        </w:tc>
      </w:tr>
    </w:tbl>
    <w:p w:rsidR="006760EA" w:rsidRDefault="006760EA" w:rsidP="006760EA">
      <w:pPr>
        <w:spacing w:before="120" w:after="120" w:line="360" w:lineRule="auto"/>
        <w:jc w:val="both"/>
        <w:rPr>
          <w:bCs/>
        </w:rPr>
      </w:pPr>
    </w:p>
    <w:tbl>
      <w:tblPr>
        <w:tblW w:w="7820" w:type="dxa"/>
        <w:jc w:val="center"/>
        <w:tblLook w:val="04A0"/>
      </w:tblPr>
      <w:tblGrid>
        <w:gridCol w:w="2100"/>
        <w:gridCol w:w="2520"/>
        <w:gridCol w:w="960"/>
        <w:gridCol w:w="1280"/>
        <w:gridCol w:w="960"/>
      </w:tblGrid>
      <w:tr w:rsidR="006760EA" w:rsidRPr="00B021FB" w:rsidTr="00DC5D7B">
        <w:trPr>
          <w:trHeight w:val="650"/>
          <w:jc w:val="center"/>
        </w:trPr>
        <w:tc>
          <w:tcPr>
            <w:tcW w:w="2100" w:type="dxa"/>
            <w:vMerge w:val="restart"/>
            <w:tcBorders>
              <w:top w:val="double" w:sz="6" w:space="0" w:color="auto"/>
              <w:left w:val="double" w:sz="6" w:space="0" w:color="auto"/>
              <w:bottom w:val="double" w:sz="6" w:space="0" w:color="000000"/>
              <w:right w:val="single" w:sz="8" w:space="0" w:color="auto"/>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lastRenderedPageBreak/>
              <w:t>Ποσοστιαία απόκλιση επιχορηγήσεων από ΠΔΕ και Ε.Ε. Γ' τριμήνου 2025</w:t>
            </w:r>
          </w:p>
        </w:tc>
        <w:tc>
          <w:tcPr>
            <w:tcW w:w="2520" w:type="dxa"/>
            <w:tcBorders>
              <w:top w:val="double" w:sz="6" w:space="0" w:color="auto"/>
              <w:left w:val="nil"/>
              <w:bottom w:val="single" w:sz="12"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Απόκλιση επιχορηγήσεων από ΠΔΕ και Ε.Ε</w:t>
            </w:r>
          </w:p>
        </w:tc>
        <w:tc>
          <w:tcPr>
            <w:tcW w:w="960" w:type="dxa"/>
            <w:tcBorders>
              <w:top w:val="double" w:sz="6" w:space="0" w:color="auto"/>
              <w:left w:val="nil"/>
              <w:bottom w:val="single" w:sz="12"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Χ 100</w:t>
            </w:r>
          </w:p>
        </w:tc>
        <w:tc>
          <w:tcPr>
            <w:tcW w:w="1280" w:type="dxa"/>
            <w:tcBorders>
              <w:top w:val="double" w:sz="6" w:space="0" w:color="auto"/>
              <w:left w:val="nil"/>
              <w:bottom w:val="single" w:sz="12"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-1.164.490</w:t>
            </w:r>
          </w:p>
        </w:tc>
        <w:tc>
          <w:tcPr>
            <w:tcW w:w="960" w:type="dxa"/>
            <w:vMerge w:val="restart"/>
            <w:tcBorders>
              <w:top w:val="double" w:sz="6" w:space="0" w:color="auto"/>
              <w:left w:val="single" w:sz="8" w:space="0" w:color="auto"/>
              <w:bottom w:val="double" w:sz="6" w:space="0" w:color="000000"/>
              <w:right w:val="double" w:sz="6" w:space="0" w:color="auto"/>
            </w:tcBorders>
            <w:noWrap/>
            <w:vAlign w:val="center"/>
            <w:hideMark/>
          </w:tcPr>
          <w:p w:rsidR="006760EA" w:rsidRPr="00B021FB" w:rsidRDefault="006760EA" w:rsidP="00DC5D7B">
            <w:pPr>
              <w:jc w:val="center"/>
              <w:rPr>
                <w:b/>
                <w:bCs/>
                <w:color w:val="000000"/>
                <w:sz w:val="18"/>
                <w:szCs w:val="18"/>
                <w:lang w:bidi="he-IL"/>
              </w:rPr>
            </w:pPr>
            <w:r w:rsidRPr="00B021FB">
              <w:rPr>
                <w:b/>
                <w:bCs/>
                <w:color w:val="000000"/>
                <w:sz w:val="18"/>
                <w:szCs w:val="18"/>
                <w:lang w:bidi="he-IL"/>
              </w:rPr>
              <w:t>-24,38%</w:t>
            </w:r>
          </w:p>
        </w:tc>
      </w:tr>
      <w:tr w:rsidR="006760EA" w:rsidRPr="00B021FB" w:rsidTr="00DC5D7B">
        <w:trPr>
          <w:trHeight w:val="650"/>
          <w:jc w:val="center"/>
        </w:trPr>
        <w:tc>
          <w:tcPr>
            <w:tcW w:w="2100" w:type="dxa"/>
            <w:vMerge/>
            <w:tcBorders>
              <w:top w:val="double" w:sz="6" w:space="0" w:color="auto"/>
              <w:left w:val="double" w:sz="6" w:space="0" w:color="auto"/>
              <w:bottom w:val="double" w:sz="6" w:space="0" w:color="000000"/>
              <w:right w:val="single" w:sz="8" w:space="0" w:color="auto"/>
            </w:tcBorders>
            <w:vAlign w:val="center"/>
            <w:hideMark/>
          </w:tcPr>
          <w:p w:rsidR="006760EA" w:rsidRPr="00B021FB" w:rsidRDefault="006760EA" w:rsidP="00DC5D7B">
            <w:pPr>
              <w:rPr>
                <w:color w:val="000000"/>
                <w:sz w:val="18"/>
                <w:szCs w:val="18"/>
                <w:lang w:bidi="he-IL"/>
              </w:rPr>
            </w:pPr>
          </w:p>
        </w:tc>
        <w:tc>
          <w:tcPr>
            <w:tcW w:w="2520" w:type="dxa"/>
            <w:tcBorders>
              <w:top w:val="single" w:sz="12" w:space="0" w:color="auto"/>
              <w:left w:val="nil"/>
              <w:bottom w:val="double" w:sz="6"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Στόχος Επιχορηγήσεων από ΠΔΕ και Ε.Ε</w:t>
            </w:r>
          </w:p>
        </w:tc>
        <w:tc>
          <w:tcPr>
            <w:tcW w:w="960" w:type="dxa"/>
            <w:tcBorders>
              <w:top w:val="nil"/>
              <w:left w:val="nil"/>
              <w:bottom w:val="double" w:sz="6"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 </w:t>
            </w:r>
          </w:p>
        </w:tc>
        <w:tc>
          <w:tcPr>
            <w:tcW w:w="1280" w:type="dxa"/>
            <w:tcBorders>
              <w:top w:val="nil"/>
              <w:left w:val="nil"/>
              <w:bottom w:val="double" w:sz="6"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4.775.726</w:t>
            </w:r>
          </w:p>
        </w:tc>
        <w:tc>
          <w:tcPr>
            <w:tcW w:w="960" w:type="dxa"/>
            <w:vMerge/>
            <w:tcBorders>
              <w:top w:val="double" w:sz="6" w:space="0" w:color="auto"/>
              <w:left w:val="single" w:sz="8" w:space="0" w:color="auto"/>
              <w:bottom w:val="double" w:sz="6" w:space="0" w:color="000000"/>
              <w:right w:val="double" w:sz="6" w:space="0" w:color="auto"/>
            </w:tcBorders>
            <w:vAlign w:val="center"/>
            <w:hideMark/>
          </w:tcPr>
          <w:p w:rsidR="006760EA" w:rsidRPr="00B021FB" w:rsidRDefault="006760EA" w:rsidP="00DC5D7B">
            <w:pPr>
              <w:rPr>
                <w:b/>
                <w:bCs/>
                <w:color w:val="000000"/>
                <w:sz w:val="18"/>
                <w:szCs w:val="18"/>
                <w:lang w:bidi="he-IL"/>
              </w:rPr>
            </w:pPr>
          </w:p>
        </w:tc>
      </w:tr>
    </w:tbl>
    <w:p w:rsidR="006760EA" w:rsidRDefault="006760EA" w:rsidP="006760EA">
      <w:pPr>
        <w:spacing w:before="120" w:after="120" w:line="360" w:lineRule="auto"/>
        <w:jc w:val="both"/>
        <w:rPr>
          <w:bCs/>
        </w:rPr>
      </w:pPr>
    </w:p>
    <w:tbl>
      <w:tblPr>
        <w:tblW w:w="7820" w:type="dxa"/>
        <w:jc w:val="center"/>
        <w:tblLook w:val="04A0"/>
      </w:tblPr>
      <w:tblGrid>
        <w:gridCol w:w="2100"/>
        <w:gridCol w:w="2520"/>
        <w:gridCol w:w="960"/>
        <w:gridCol w:w="1280"/>
        <w:gridCol w:w="960"/>
      </w:tblGrid>
      <w:tr w:rsidR="006760EA" w:rsidRPr="00B021FB" w:rsidTr="00DC5D7B">
        <w:trPr>
          <w:trHeight w:val="730"/>
          <w:jc w:val="center"/>
        </w:trPr>
        <w:tc>
          <w:tcPr>
            <w:tcW w:w="2100" w:type="dxa"/>
            <w:vMerge w:val="restart"/>
            <w:tcBorders>
              <w:top w:val="double" w:sz="6" w:space="0" w:color="auto"/>
              <w:left w:val="single" w:sz="8" w:space="0" w:color="auto"/>
              <w:bottom w:val="double" w:sz="6" w:space="0" w:color="000000"/>
              <w:right w:val="single" w:sz="8" w:space="0" w:color="auto"/>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Ποσοστιαία απόκλιση Κόστους Προσωπικού Γ' τριμήνου 2025</w:t>
            </w:r>
          </w:p>
        </w:tc>
        <w:tc>
          <w:tcPr>
            <w:tcW w:w="2520" w:type="dxa"/>
            <w:tcBorders>
              <w:top w:val="double" w:sz="6" w:space="0" w:color="auto"/>
              <w:left w:val="nil"/>
              <w:bottom w:val="single" w:sz="8"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Απόκλιση Κόστους Προσωπικού</w:t>
            </w:r>
          </w:p>
        </w:tc>
        <w:tc>
          <w:tcPr>
            <w:tcW w:w="960" w:type="dxa"/>
            <w:tcBorders>
              <w:top w:val="double" w:sz="6" w:space="0" w:color="auto"/>
              <w:left w:val="nil"/>
              <w:bottom w:val="single" w:sz="8"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Χ 100</w:t>
            </w:r>
          </w:p>
        </w:tc>
        <w:tc>
          <w:tcPr>
            <w:tcW w:w="1280" w:type="dxa"/>
            <w:tcBorders>
              <w:top w:val="double" w:sz="6" w:space="0" w:color="auto"/>
              <w:left w:val="nil"/>
              <w:bottom w:val="single" w:sz="8"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9.153</w:t>
            </w:r>
          </w:p>
        </w:tc>
        <w:tc>
          <w:tcPr>
            <w:tcW w:w="960" w:type="dxa"/>
            <w:vMerge w:val="restart"/>
            <w:tcBorders>
              <w:top w:val="double" w:sz="6" w:space="0" w:color="auto"/>
              <w:left w:val="single" w:sz="8" w:space="0" w:color="auto"/>
              <w:bottom w:val="double" w:sz="6" w:space="0" w:color="000000"/>
              <w:right w:val="single" w:sz="8" w:space="0" w:color="auto"/>
            </w:tcBorders>
            <w:noWrap/>
            <w:vAlign w:val="center"/>
            <w:hideMark/>
          </w:tcPr>
          <w:p w:rsidR="006760EA" w:rsidRPr="00B021FB" w:rsidRDefault="006760EA" w:rsidP="00DC5D7B">
            <w:pPr>
              <w:jc w:val="center"/>
              <w:rPr>
                <w:b/>
                <w:bCs/>
                <w:color w:val="000000"/>
                <w:sz w:val="18"/>
                <w:szCs w:val="18"/>
                <w:lang w:bidi="he-IL"/>
              </w:rPr>
            </w:pPr>
            <w:r w:rsidRPr="00B021FB">
              <w:rPr>
                <w:b/>
                <w:bCs/>
                <w:color w:val="000000"/>
                <w:sz w:val="18"/>
                <w:szCs w:val="18"/>
                <w:lang w:bidi="he-IL"/>
              </w:rPr>
              <w:t>0,17%</w:t>
            </w:r>
          </w:p>
        </w:tc>
      </w:tr>
      <w:tr w:rsidR="006760EA" w:rsidRPr="00B021FB" w:rsidTr="00DC5D7B">
        <w:trPr>
          <w:trHeight w:val="710"/>
          <w:jc w:val="center"/>
        </w:trPr>
        <w:tc>
          <w:tcPr>
            <w:tcW w:w="2100" w:type="dxa"/>
            <w:vMerge/>
            <w:tcBorders>
              <w:top w:val="double" w:sz="6" w:space="0" w:color="auto"/>
              <w:left w:val="single" w:sz="8" w:space="0" w:color="auto"/>
              <w:bottom w:val="double" w:sz="6" w:space="0" w:color="000000"/>
              <w:right w:val="single" w:sz="8" w:space="0" w:color="auto"/>
            </w:tcBorders>
            <w:vAlign w:val="center"/>
            <w:hideMark/>
          </w:tcPr>
          <w:p w:rsidR="006760EA" w:rsidRPr="00B021FB" w:rsidRDefault="006760EA" w:rsidP="00DC5D7B">
            <w:pPr>
              <w:rPr>
                <w:color w:val="000000"/>
                <w:sz w:val="18"/>
                <w:szCs w:val="18"/>
                <w:lang w:bidi="he-IL"/>
              </w:rPr>
            </w:pPr>
          </w:p>
        </w:tc>
        <w:tc>
          <w:tcPr>
            <w:tcW w:w="2520" w:type="dxa"/>
            <w:tcBorders>
              <w:top w:val="single" w:sz="8" w:space="0" w:color="auto"/>
              <w:left w:val="nil"/>
              <w:bottom w:val="double" w:sz="6"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Στόχος Κόστους Προσωπικού</w:t>
            </w:r>
          </w:p>
        </w:tc>
        <w:tc>
          <w:tcPr>
            <w:tcW w:w="960" w:type="dxa"/>
            <w:tcBorders>
              <w:top w:val="nil"/>
              <w:left w:val="nil"/>
              <w:bottom w:val="double" w:sz="6"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 </w:t>
            </w:r>
          </w:p>
        </w:tc>
        <w:tc>
          <w:tcPr>
            <w:tcW w:w="1280" w:type="dxa"/>
            <w:tcBorders>
              <w:top w:val="nil"/>
              <w:left w:val="nil"/>
              <w:bottom w:val="double" w:sz="6"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5.265.719</w:t>
            </w:r>
          </w:p>
        </w:tc>
        <w:tc>
          <w:tcPr>
            <w:tcW w:w="960" w:type="dxa"/>
            <w:vMerge/>
            <w:tcBorders>
              <w:top w:val="double" w:sz="6" w:space="0" w:color="auto"/>
              <w:left w:val="single" w:sz="8" w:space="0" w:color="auto"/>
              <w:bottom w:val="double" w:sz="6" w:space="0" w:color="000000"/>
              <w:right w:val="single" w:sz="8" w:space="0" w:color="auto"/>
            </w:tcBorders>
            <w:vAlign w:val="center"/>
            <w:hideMark/>
          </w:tcPr>
          <w:p w:rsidR="006760EA" w:rsidRPr="00B021FB" w:rsidRDefault="006760EA" w:rsidP="00DC5D7B">
            <w:pPr>
              <w:rPr>
                <w:b/>
                <w:bCs/>
                <w:color w:val="000000"/>
                <w:sz w:val="18"/>
                <w:szCs w:val="18"/>
                <w:lang w:bidi="he-IL"/>
              </w:rPr>
            </w:pPr>
          </w:p>
        </w:tc>
      </w:tr>
    </w:tbl>
    <w:p w:rsidR="006760EA" w:rsidRDefault="006760EA" w:rsidP="006760EA">
      <w:pPr>
        <w:spacing w:before="120" w:after="120" w:line="360" w:lineRule="auto"/>
        <w:jc w:val="both"/>
        <w:rPr>
          <w:bCs/>
        </w:rPr>
      </w:pPr>
    </w:p>
    <w:tbl>
      <w:tblPr>
        <w:tblW w:w="7820" w:type="dxa"/>
        <w:jc w:val="center"/>
        <w:tblLook w:val="04A0"/>
      </w:tblPr>
      <w:tblGrid>
        <w:gridCol w:w="2100"/>
        <w:gridCol w:w="2520"/>
        <w:gridCol w:w="960"/>
        <w:gridCol w:w="1280"/>
        <w:gridCol w:w="960"/>
      </w:tblGrid>
      <w:tr w:rsidR="006760EA" w:rsidRPr="00B021FB" w:rsidTr="00DC5D7B">
        <w:trPr>
          <w:trHeight w:val="690"/>
          <w:jc w:val="center"/>
        </w:trPr>
        <w:tc>
          <w:tcPr>
            <w:tcW w:w="2100" w:type="dxa"/>
            <w:vMerge w:val="restart"/>
            <w:tcBorders>
              <w:top w:val="double" w:sz="6" w:space="0" w:color="000000"/>
              <w:left w:val="double" w:sz="6" w:space="0" w:color="000000"/>
              <w:bottom w:val="double" w:sz="6" w:space="0" w:color="000000"/>
              <w:right w:val="single" w:sz="8" w:space="0" w:color="auto"/>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Ποσοστιαία απόκλιση Λοιπών Εξόδων Χρήσης Γ' τριμήνου 2025</w:t>
            </w:r>
          </w:p>
        </w:tc>
        <w:tc>
          <w:tcPr>
            <w:tcW w:w="2520" w:type="dxa"/>
            <w:tcBorders>
              <w:top w:val="double" w:sz="6" w:space="0" w:color="000000"/>
              <w:left w:val="nil"/>
              <w:bottom w:val="single" w:sz="8"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Απόκλιση Λοιπών Εξόδων Χρήσης</w:t>
            </w:r>
          </w:p>
        </w:tc>
        <w:tc>
          <w:tcPr>
            <w:tcW w:w="960" w:type="dxa"/>
            <w:tcBorders>
              <w:top w:val="double" w:sz="6" w:space="0" w:color="000000"/>
              <w:left w:val="nil"/>
              <w:bottom w:val="single" w:sz="8"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Χ 100</w:t>
            </w:r>
          </w:p>
        </w:tc>
        <w:tc>
          <w:tcPr>
            <w:tcW w:w="1280" w:type="dxa"/>
            <w:tcBorders>
              <w:top w:val="double" w:sz="6" w:space="0" w:color="000000"/>
              <w:left w:val="nil"/>
              <w:bottom w:val="single" w:sz="8" w:space="0" w:color="auto"/>
              <w:right w:val="nil"/>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399.075</w:t>
            </w:r>
          </w:p>
        </w:tc>
        <w:tc>
          <w:tcPr>
            <w:tcW w:w="960" w:type="dxa"/>
            <w:vMerge w:val="restart"/>
            <w:tcBorders>
              <w:top w:val="double" w:sz="6" w:space="0" w:color="000000"/>
              <w:left w:val="single" w:sz="8" w:space="0" w:color="auto"/>
              <w:bottom w:val="double" w:sz="6" w:space="0" w:color="000000"/>
              <w:right w:val="double" w:sz="6" w:space="0" w:color="000000"/>
            </w:tcBorders>
            <w:noWrap/>
            <w:vAlign w:val="center"/>
            <w:hideMark/>
          </w:tcPr>
          <w:p w:rsidR="006760EA" w:rsidRPr="00B021FB" w:rsidRDefault="006760EA" w:rsidP="00DC5D7B">
            <w:pPr>
              <w:jc w:val="center"/>
              <w:rPr>
                <w:b/>
                <w:bCs/>
                <w:color w:val="000000"/>
                <w:sz w:val="18"/>
                <w:szCs w:val="18"/>
                <w:lang w:bidi="he-IL"/>
              </w:rPr>
            </w:pPr>
            <w:r w:rsidRPr="00B021FB">
              <w:rPr>
                <w:b/>
                <w:bCs/>
                <w:color w:val="000000"/>
                <w:sz w:val="18"/>
                <w:szCs w:val="18"/>
                <w:lang w:bidi="he-IL"/>
              </w:rPr>
              <w:t>11,33%</w:t>
            </w:r>
          </w:p>
        </w:tc>
      </w:tr>
      <w:tr w:rsidR="006760EA" w:rsidRPr="00B021FB" w:rsidTr="00DC5D7B">
        <w:trPr>
          <w:trHeight w:val="680"/>
          <w:jc w:val="center"/>
        </w:trPr>
        <w:tc>
          <w:tcPr>
            <w:tcW w:w="2100" w:type="dxa"/>
            <w:vMerge/>
            <w:tcBorders>
              <w:top w:val="double" w:sz="6" w:space="0" w:color="000000"/>
              <w:left w:val="double" w:sz="6" w:space="0" w:color="000000"/>
              <w:bottom w:val="double" w:sz="6" w:space="0" w:color="000000"/>
              <w:right w:val="single" w:sz="8" w:space="0" w:color="auto"/>
            </w:tcBorders>
            <w:vAlign w:val="center"/>
            <w:hideMark/>
          </w:tcPr>
          <w:p w:rsidR="006760EA" w:rsidRPr="00B021FB" w:rsidRDefault="006760EA" w:rsidP="00DC5D7B">
            <w:pPr>
              <w:rPr>
                <w:color w:val="000000"/>
                <w:sz w:val="18"/>
                <w:szCs w:val="18"/>
                <w:lang w:bidi="he-IL"/>
              </w:rPr>
            </w:pPr>
          </w:p>
        </w:tc>
        <w:tc>
          <w:tcPr>
            <w:tcW w:w="2520" w:type="dxa"/>
            <w:tcBorders>
              <w:top w:val="single" w:sz="8" w:space="0" w:color="auto"/>
              <w:left w:val="nil"/>
              <w:bottom w:val="double" w:sz="6" w:space="0" w:color="000000"/>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Στόχος Λοιπών Εξόδων Χρήσης</w:t>
            </w:r>
          </w:p>
        </w:tc>
        <w:tc>
          <w:tcPr>
            <w:tcW w:w="960" w:type="dxa"/>
            <w:tcBorders>
              <w:top w:val="nil"/>
              <w:left w:val="nil"/>
              <w:bottom w:val="double" w:sz="6" w:space="0" w:color="000000"/>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 </w:t>
            </w:r>
          </w:p>
        </w:tc>
        <w:tc>
          <w:tcPr>
            <w:tcW w:w="1280" w:type="dxa"/>
            <w:tcBorders>
              <w:top w:val="nil"/>
              <w:left w:val="nil"/>
              <w:bottom w:val="double" w:sz="6" w:space="0" w:color="000000"/>
              <w:right w:val="nil"/>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3.520.774</w:t>
            </w:r>
          </w:p>
        </w:tc>
        <w:tc>
          <w:tcPr>
            <w:tcW w:w="960" w:type="dxa"/>
            <w:vMerge/>
            <w:tcBorders>
              <w:top w:val="double" w:sz="6" w:space="0" w:color="000000"/>
              <w:left w:val="single" w:sz="8" w:space="0" w:color="auto"/>
              <w:bottom w:val="double" w:sz="6" w:space="0" w:color="000000"/>
              <w:right w:val="double" w:sz="6" w:space="0" w:color="000000"/>
            </w:tcBorders>
            <w:vAlign w:val="center"/>
            <w:hideMark/>
          </w:tcPr>
          <w:p w:rsidR="006760EA" w:rsidRPr="00B021FB" w:rsidRDefault="006760EA" w:rsidP="00DC5D7B">
            <w:pPr>
              <w:rPr>
                <w:b/>
                <w:bCs/>
                <w:color w:val="000000"/>
                <w:sz w:val="18"/>
                <w:szCs w:val="18"/>
                <w:lang w:bidi="he-IL"/>
              </w:rPr>
            </w:pPr>
          </w:p>
        </w:tc>
      </w:tr>
    </w:tbl>
    <w:p w:rsidR="006760EA" w:rsidRDefault="006760EA" w:rsidP="006760EA">
      <w:pPr>
        <w:spacing w:before="120" w:after="120" w:line="360" w:lineRule="auto"/>
        <w:jc w:val="both"/>
        <w:rPr>
          <w:bCs/>
        </w:rPr>
      </w:pPr>
    </w:p>
    <w:tbl>
      <w:tblPr>
        <w:tblW w:w="7820" w:type="dxa"/>
        <w:jc w:val="center"/>
        <w:tblLook w:val="04A0"/>
      </w:tblPr>
      <w:tblGrid>
        <w:gridCol w:w="2100"/>
        <w:gridCol w:w="2520"/>
        <w:gridCol w:w="960"/>
        <w:gridCol w:w="1280"/>
        <w:gridCol w:w="960"/>
      </w:tblGrid>
      <w:tr w:rsidR="006760EA" w:rsidRPr="00B021FB" w:rsidTr="00DC5D7B">
        <w:trPr>
          <w:trHeight w:val="740"/>
          <w:jc w:val="center"/>
        </w:trPr>
        <w:tc>
          <w:tcPr>
            <w:tcW w:w="2100" w:type="dxa"/>
            <w:vMerge w:val="restart"/>
            <w:tcBorders>
              <w:top w:val="single" w:sz="8" w:space="0" w:color="auto"/>
              <w:left w:val="single" w:sz="8" w:space="0" w:color="auto"/>
              <w:bottom w:val="single" w:sz="8" w:space="0" w:color="000000"/>
              <w:right w:val="single" w:sz="8" w:space="0" w:color="auto"/>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Ποσοστιαία απόκλιση επενδύσεων  Γ' τριμήνου 2025</w:t>
            </w:r>
          </w:p>
        </w:tc>
        <w:tc>
          <w:tcPr>
            <w:tcW w:w="2520" w:type="dxa"/>
            <w:tcBorders>
              <w:top w:val="single" w:sz="8" w:space="0" w:color="auto"/>
              <w:left w:val="nil"/>
              <w:bottom w:val="single" w:sz="8"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Απόκλιση Δαπανών για επενδύσεις</w:t>
            </w:r>
          </w:p>
        </w:tc>
        <w:tc>
          <w:tcPr>
            <w:tcW w:w="960" w:type="dxa"/>
            <w:tcBorders>
              <w:top w:val="single" w:sz="8" w:space="0" w:color="auto"/>
              <w:left w:val="nil"/>
              <w:bottom w:val="single" w:sz="8"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Χ 100</w:t>
            </w:r>
          </w:p>
        </w:tc>
        <w:tc>
          <w:tcPr>
            <w:tcW w:w="1280" w:type="dxa"/>
            <w:tcBorders>
              <w:top w:val="single" w:sz="8" w:space="0" w:color="auto"/>
              <w:left w:val="nil"/>
              <w:bottom w:val="single" w:sz="8"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-37.024</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rsidR="006760EA" w:rsidRPr="00B021FB" w:rsidRDefault="006760EA" w:rsidP="00DC5D7B">
            <w:pPr>
              <w:jc w:val="center"/>
              <w:rPr>
                <w:b/>
                <w:bCs/>
                <w:color w:val="000000"/>
                <w:sz w:val="18"/>
                <w:szCs w:val="18"/>
                <w:lang w:bidi="he-IL"/>
              </w:rPr>
            </w:pPr>
            <w:r w:rsidRPr="00B021FB">
              <w:rPr>
                <w:b/>
                <w:bCs/>
                <w:color w:val="000000"/>
                <w:sz w:val="18"/>
                <w:szCs w:val="18"/>
                <w:lang w:bidi="he-IL"/>
              </w:rPr>
              <w:t>-0,78%</w:t>
            </w:r>
          </w:p>
        </w:tc>
      </w:tr>
      <w:tr w:rsidR="006760EA" w:rsidRPr="00B021FB" w:rsidTr="00DC5D7B">
        <w:trPr>
          <w:trHeight w:val="790"/>
          <w:jc w:val="center"/>
        </w:trPr>
        <w:tc>
          <w:tcPr>
            <w:tcW w:w="2100" w:type="dxa"/>
            <w:vMerge/>
            <w:tcBorders>
              <w:top w:val="single" w:sz="8" w:space="0" w:color="auto"/>
              <w:left w:val="single" w:sz="8" w:space="0" w:color="auto"/>
              <w:bottom w:val="single" w:sz="8" w:space="0" w:color="000000"/>
              <w:right w:val="single" w:sz="8" w:space="0" w:color="auto"/>
            </w:tcBorders>
            <w:vAlign w:val="center"/>
            <w:hideMark/>
          </w:tcPr>
          <w:p w:rsidR="006760EA" w:rsidRPr="00B021FB" w:rsidRDefault="006760EA" w:rsidP="00DC5D7B">
            <w:pPr>
              <w:rPr>
                <w:color w:val="000000"/>
                <w:sz w:val="18"/>
                <w:szCs w:val="18"/>
                <w:lang w:bidi="he-IL"/>
              </w:rPr>
            </w:pPr>
          </w:p>
        </w:tc>
        <w:tc>
          <w:tcPr>
            <w:tcW w:w="2520" w:type="dxa"/>
            <w:tcBorders>
              <w:top w:val="single" w:sz="8" w:space="0" w:color="auto"/>
              <w:left w:val="nil"/>
              <w:bottom w:val="single" w:sz="8" w:space="0" w:color="auto"/>
              <w:right w:val="nil"/>
            </w:tcBorders>
            <w:vAlign w:val="center"/>
            <w:hideMark/>
          </w:tcPr>
          <w:p w:rsidR="006760EA" w:rsidRPr="00B021FB" w:rsidRDefault="006760EA" w:rsidP="00DC5D7B">
            <w:pPr>
              <w:jc w:val="center"/>
              <w:rPr>
                <w:color w:val="000000"/>
                <w:sz w:val="18"/>
                <w:szCs w:val="18"/>
                <w:lang w:bidi="he-IL"/>
              </w:rPr>
            </w:pPr>
            <w:r w:rsidRPr="00B021FB">
              <w:rPr>
                <w:color w:val="000000"/>
                <w:sz w:val="18"/>
                <w:szCs w:val="18"/>
                <w:lang w:bidi="he-IL"/>
              </w:rPr>
              <w:t>Στόχος Δαπανών για Επενδύσεις</w:t>
            </w:r>
          </w:p>
        </w:tc>
        <w:tc>
          <w:tcPr>
            <w:tcW w:w="960" w:type="dxa"/>
            <w:tcBorders>
              <w:top w:val="nil"/>
              <w:left w:val="nil"/>
              <w:bottom w:val="single" w:sz="8" w:space="0" w:color="auto"/>
              <w:right w:val="nil"/>
            </w:tcBorders>
            <w:noWrap/>
            <w:vAlign w:val="center"/>
            <w:hideMark/>
          </w:tcPr>
          <w:p w:rsidR="006760EA" w:rsidRPr="00B021FB" w:rsidRDefault="006760EA" w:rsidP="00DC5D7B">
            <w:pPr>
              <w:rPr>
                <w:color w:val="000000"/>
                <w:sz w:val="18"/>
                <w:szCs w:val="18"/>
                <w:lang w:bidi="he-IL"/>
              </w:rPr>
            </w:pPr>
            <w:r w:rsidRPr="00B021FB">
              <w:rPr>
                <w:color w:val="000000"/>
                <w:sz w:val="18"/>
                <w:szCs w:val="18"/>
                <w:lang w:bidi="he-IL"/>
              </w:rPr>
              <w:t> </w:t>
            </w:r>
          </w:p>
        </w:tc>
        <w:tc>
          <w:tcPr>
            <w:tcW w:w="1280" w:type="dxa"/>
            <w:tcBorders>
              <w:top w:val="nil"/>
              <w:left w:val="nil"/>
              <w:bottom w:val="single" w:sz="8" w:space="0" w:color="auto"/>
              <w:right w:val="single" w:sz="8" w:space="0" w:color="auto"/>
            </w:tcBorders>
            <w:noWrap/>
            <w:vAlign w:val="center"/>
            <w:hideMark/>
          </w:tcPr>
          <w:p w:rsidR="006760EA" w:rsidRPr="00B021FB" w:rsidRDefault="006760EA" w:rsidP="00DC5D7B">
            <w:pPr>
              <w:jc w:val="right"/>
              <w:rPr>
                <w:color w:val="000000"/>
                <w:sz w:val="18"/>
                <w:szCs w:val="18"/>
                <w:lang w:bidi="he-IL"/>
              </w:rPr>
            </w:pPr>
            <w:r w:rsidRPr="00B021FB">
              <w:rPr>
                <w:color w:val="000000"/>
                <w:sz w:val="18"/>
                <w:szCs w:val="18"/>
                <w:lang w:bidi="he-IL"/>
              </w:rPr>
              <w:t>4.766.738</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760EA" w:rsidRPr="00B021FB" w:rsidRDefault="006760EA" w:rsidP="00DC5D7B">
            <w:pPr>
              <w:rPr>
                <w:b/>
                <w:bCs/>
                <w:color w:val="000000"/>
                <w:sz w:val="18"/>
                <w:szCs w:val="18"/>
                <w:lang w:bidi="he-IL"/>
              </w:rPr>
            </w:pPr>
          </w:p>
        </w:tc>
      </w:tr>
    </w:tbl>
    <w:p w:rsidR="006760EA" w:rsidRDefault="006760EA" w:rsidP="006760EA">
      <w:pPr>
        <w:spacing w:before="120" w:after="120" w:line="360" w:lineRule="auto"/>
        <w:jc w:val="both"/>
        <w:rPr>
          <w:bCs/>
        </w:rPr>
      </w:pPr>
    </w:p>
    <w:p w:rsidR="006760EA" w:rsidRPr="00AA5D4D" w:rsidRDefault="006760EA" w:rsidP="006760EA">
      <w:pPr>
        <w:spacing w:before="120" w:after="120" w:line="360" w:lineRule="auto"/>
        <w:rPr>
          <w:sz w:val="24"/>
          <w:szCs w:val="24"/>
          <w:u w:val="single"/>
        </w:rPr>
      </w:pPr>
      <w:r w:rsidRPr="00AA5D4D">
        <w:rPr>
          <w:sz w:val="24"/>
          <w:szCs w:val="24"/>
          <w:u w:val="single"/>
        </w:rPr>
        <w:t>Ερμηνεία απόκλισης</w:t>
      </w:r>
    </w:p>
    <w:p w:rsidR="006760EA" w:rsidRPr="00AA5D4D" w:rsidRDefault="006760EA" w:rsidP="006760EA">
      <w:pPr>
        <w:spacing w:before="120" w:after="120" w:line="360" w:lineRule="auto"/>
        <w:jc w:val="both"/>
        <w:rPr>
          <w:sz w:val="24"/>
          <w:szCs w:val="24"/>
        </w:rPr>
      </w:pPr>
      <w:r w:rsidRPr="00AA5D4D">
        <w:rPr>
          <w:sz w:val="24"/>
          <w:szCs w:val="24"/>
        </w:rPr>
        <w:t xml:space="preserve">Κατά την κατάρτιση του ΟΠΔ, ο δήμος είχε θέσει στόχο να πληρώσει στο 9μηνο του έτους το ποσό των 4.766.738€ για επενδύσεις, όπου περιλαμβάνονται και οι υποχρεώσεις Π.Ο.Ε.. Κατά την εκτέλεση του προϋπολογισμού, πλήρωσε το ποσό των 4.729.714€. Συνεπώς, η απόκλιση επί του αρχικού στόχου ανέρχεται σε – 37.024€ ή στο – 0,78% του στόχου που έχει τεθεί στο ΟΠΔ. Καθίσταται σαφές ότι η </w:t>
      </w:r>
      <w:proofErr w:type="spellStart"/>
      <w:r w:rsidRPr="00AA5D4D">
        <w:rPr>
          <w:sz w:val="24"/>
          <w:szCs w:val="24"/>
        </w:rPr>
        <w:t>στοχοθεσία</w:t>
      </w:r>
      <w:proofErr w:type="spellEnd"/>
      <w:r w:rsidRPr="00AA5D4D">
        <w:rPr>
          <w:sz w:val="24"/>
          <w:szCs w:val="24"/>
        </w:rPr>
        <w:t xml:space="preserve"> των επενδύσεων, 15.078.396€ για όλο το έτος, είναι </w:t>
      </w:r>
      <w:proofErr w:type="spellStart"/>
      <w:r w:rsidRPr="00AA5D4D">
        <w:rPr>
          <w:sz w:val="24"/>
          <w:szCs w:val="24"/>
          <w:u w:val="single"/>
        </w:rPr>
        <w:t>οπισθοβαρής</w:t>
      </w:r>
      <w:proofErr w:type="spellEnd"/>
      <w:r w:rsidRPr="00AA5D4D">
        <w:rPr>
          <w:sz w:val="24"/>
          <w:szCs w:val="24"/>
          <w:u w:val="single"/>
        </w:rPr>
        <w:t>,</w:t>
      </w:r>
      <w:r w:rsidRPr="00AA5D4D">
        <w:rPr>
          <w:sz w:val="24"/>
          <w:szCs w:val="24"/>
        </w:rPr>
        <w:t xml:space="preserve"> δηλαδή για το Δ’ τρίμηνο του 2025 έχουν τεθεί υπερβολικά μεγάλοι στόχοι, που δεν θα υλοποιηθούν.</w:t>
      </w:r>
    </w:p>
    <w:tbl>
      <w:tblPr>
        <w:tblW w:w="7820" w:type="dxa"/>
        <w:jc w:val="center"/>
        <w:tblLook w:val="04A0"/>
      </w:tblPr>
      <w:tblGrid>
        <w:gridCol w:w="2100"/>
        <w:gridCol w:w="2520"/>
        <w:gridCol w:w="960"/>
        <w:gridCol w:w="1280"/>
        <w:gridCol w:w="960"/>
      </w:tblGrid>
      <w:tr w:rsidR="006760EA" w:rsidRPr="00244342" w:rsidTr="00DC5D7B">
        <w:trPr>
          <w:trHeight w:val="740"/>
          <w:jc w:val="center"/>
        </w:trPr>
        <w:tc>
          <w:tcPr>
            <w:tcW w:w="2100" w:type="dxa"/>
            <w:vMerge w:val="restart"/>
            <w:tcBorders>
              <w:top w:val="single" w:sz="8" w:space="0" w:color="auto"/>
              <w:left w:val="single" w:sz="8" w:space="0" w:color="auto"/>
              <w:bottom w:val="single" w:sz="8" w:space="0" w:color="000000"/>
              <w:right w:val="single" w:sz="8" w:space="0" w:color="auto"/>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t>Ποσοστιαία απόκλιση Πληρωμών ΠΟ.Ε. Γ' τριμήνου 2025</w:t>
            </w:r>
          </w:p>
        </w:tc>
        <w:tc>
          <w:tcPr>
            <w:tcW w:w="2520" w:type="dxa"/>
            <w:tcBorders>
              <w:top w:val="single" w:sz="8" w:space="0" w:color="auto"/>
              <w:left w:val="nil"/>
              <w:bottom w:val="single" w:sz="8" w:space="0" w:color="auto"/>
              <w:right w:val="nil"/>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t>Απόκλιση Πληρωμών ΠΟ.Ε.</w:t>
            </w:r>
          </w:p>
        </w:tc>
        <w:tc>
          <w:tcPr>
            <w:tcW w:w="960" w:type="dxa"/>
            <w:tcBorders>
              <w:top w:val="single" w:sz="8" w:space="0" w:color="auto"/>
              <w:left w:val="nil"/>
              <w:bottom w:val="single" w:sz="8" w:space="0" w:color="auto"/>
              <w:right w:val="nil"/>
            </w:tcBorders>
            <w:noWrap/>
            <w:vAlign w:val="center"/>
            <w:hideMark/>
          </w:tcPr>
          <w:p w:rsidR="006760EA" w:rsidRPr="00244342" w:rsidRDefault="006760EA" w:rsidP="00DC5D7B">
            <w:pPr>
              <w:rPr>
                <w:color w:val="000000"/>
                <w:sz w:val="18"/>
                <w:szCs w:val="18"/>
                <w:lang w:bidi="he-IL"/>
              </w:rPr>
            </w:pPr>
            <w:r w:rsidRPr="00244342">
              <w:rPr>
                <w:color w:val="000000"/>
                <w:sz w:val="18"/>
                <w:szCs w:val="18"/>
                <w:lang w:bidi="he-IL"/>
              </w:rPr>
              <w:t>Χ 100</w:t>
            </w:r>
          </w:p>
        </w:tc>
        <w:tc>
          <w:tcPr>
            <w:tcW w:w="1280" w:type="dxa"/>
            <w:tcBorders>
              <w:top w:val="single" w:sz="8" w:space="0" w:color="auto"/>
              <w:left w:val="nil"/>
              <w:bottom w:val="single" w:sz="8" w:space="0" w:color="auto"/>
              <w:right w:val="single" w:sz="8" w:space="0" w:color="auto"/>
            </w:tcBorders>
            <w:noWrap/>
            <w:vAlign w:val="center"/>
            <w:hideMark/>
          </w:tcPr>
          <w:p w:rsidR="006760EA" w:rsidRPr="00244342" w:rsidRDefault="006760EA" w:rsidP="00DC5D7B">
            <w:pPr>
              <w:jc w:val="right"/>
              <w:rPr>
                <w:color w:val="000000"/>
                <w:sz w:val="18"/>
                <w:szCs w:val="18"/>
                <w:lang w:bidi="he-IL"/>
              </w:rPr>
            </w:pPr>
            <w:r w:rsidRPr="00244342">
              <w:rPr>
                <w:color w:val="000000"/>
                <w:sz w:val="18"/>
                <w:szCs w:val="18"/>
                <w:lang w:bidi="he-IL"/>
              </w:rPr>
              <w:t>-33.530</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rsidR="006760EA" w:rsidRPr="00244342" w:rsidRDefault="006760EA" w:rsidP="00DC5D7B">
            <w:pPr>
              <w:jc w:val="center"/>
              <w:rPr>
                <w:b/>
                <w:bCs/>
                <w:color w:val="000000"/>
                <w:sz w:val="18"/>
                <w:szCs w:val="18"/>
                <w:lang w:bidi="he-IL"/>
              </w:rPr>
            </w:pPr>
            <w:r w:rsidRPr="00244342">
              <w:rPr>
                <w:b/>
                <w:bCs/>
                <w:color w:val="000000"/>
                <w:sz w:val="18"/>
                <w:szCs w:val="18"/>
                <w:lang w:bidi="he-IL"/>
              </w:rPr>
              <w:t>-5,85%</w:t>
            </w:r>
          </w:p>
        </w:tc>
      </w:tr>
      <w:tr w:rsidR="006760EA" w:rsidRPr="00244342" w:rsidTr="00DC5D7B">
        <w:trPr>
          <w:trHeight w:val="640"/>
          <w:jc w:val="center"/>
        </w:trPr>
        <w:tc>
          <w:tcPr>
            <w:tcW w:w="2100" w:type="dxa"/>
            <w:vMerge/>
            <w:tcBorders>
              <w:top w:val="single" w:sz="8" w:space="0" w:color="auto"/>
              <w:left w:val="single" w:sz="8" w:space="0" w:color="auto"/>
              <w:bottom w:val="single" w:sz="8" w:space="0" w:color="000000"/>
              <w:right w:val="single" w:sz="8" w:space="0" w:color="auto"/>
            </w:tcBorders>
            <w:vAlign w:val="center"/>
            <w:hideMark/>
          </w:tcPr>
          <w:p w:rsidR="006760EA" w:rsidRPr="00244342" w:rsidRDefault="006760EA" w:rsidP="00DC5D7B">
            <w:pPr>
              <w:rPr>
                <w:color w:val="000000"/>
                <w:sz w:val="18"/>
                <w:szCs w:val="18"/>
                <w:lang w:bidi="he-IL"/>
              </w:rPr>
            </w:pPr>
          </w:p>
        </w:tc>
        <w:tc>
          <w:tcPr>
            <w:tcW w:w="2520" w:type="dxa"/>
            <w:tcBorders>
              <w:top w:val="single" w:sz="8" w:space="0" w:color="auto"/>
              <w:left w:val="nil"/>
              <w:bottom w:val="single" w:sz="8" w:space="0" w:color="auto"/>
              <w:right w:val="nil"/>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t>Στόχος Πληρωμών ΠΟ.Ε.</w:t>
            </w:r>
          </w:p>
        </w:tc>
        <w:tc>
          <w:tcPr>
            <w:tcW w:w="960" w:type="dxa"/>
            <w:tcBorders>
              <w:top w:val="nil"/>
              <w:left w:val="nil"/>
              <w:bottom w:val="single" w:sz="8" w:space="0" w:color="auto"/>
              <w:right w:val="nil"/>
            </w:tcBorders>
            <w:noWrap/>
            <w:vAlign w:val="center"/>
            <w:hideMark/>
          </w:tcPr>
          <w:p w:rsidR="006760EA" w:rsidRPr="00244342" w:rsidRDefault="006760EA" w:rsidP="00DC5D7B">
            <w:pPr>
              <w:rPr>
                <w:color w:val="000000"/>
                <w:sz w:val="18"/>
                <w:szCs w:val="18"/>
                <w:lang w:bidi="he-IL"/>
              </w:rPr>
            </w:pPr>
            <w:r w:rsidRPr="00244342">
              <w:rPr>
                <w:color w:val="000000"/>
                <w:sz w:val="18"/>
                <w:szCs w:val="18"/>
                <w:lang w:bidi="he-IL"/>
              </w:rPr>
              <w:t> </w:t>
            </w:r>
          </w:p>
        </w:tc>
        <w:tc>
          <w:tcPr>
            <w:tcW w:w="1280" w:type="dxa"/>
            <w:tcBorders>
              <w:top w:val="nil"/>
              <w:left w:val="nil"/>
              <w:bottom w:val="single" w:sz="8" w:space="0" w:color="auto"/>
              <w:right w:val="single" w:sz="8" w:space="0" w:color="auto"/>
            </w:tcBorders>
            <w:noWrap/>
            <w:vAlign w:val="center"/>
            <w:hideMark/>
          </w:tcPr>
          <w:p w:rsidR="006760EA" w:rsidRPr="00244342" w:rsidRDefault="006760EA" w:rsidP="00DC5D7B">
            <w:pPr>
              <w:jc w:val="right"/>
              <w:rPr>
                <w:color w:val="000000"/>
                <w:sz w:val="18"/>
                <w:szCs w:val="18"/>
                <w:lang w:bidi="he-IL"/>
              </w:rPr>
            </w:pPr>
            <w:r w:rsidRPr="00244342">
              <w:rPr>
                <w:color w:val="000000"/>
                <w:sz w:val="18"/>
                <w:szCs w:val="18"/>
                <w:lang w:bidi="he-IL"/>
              </w:rPr>
              <w:t>573.452</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760EA" w:rsidRPr="00244342" w:rsidRDefault="006760EA" w:rsidP="00DC5D7B">
            <w:pPr>
              <w:rPr>
                <w:b/>
                <w:bCs/>
                <w:color w:val="000000"/>
                <w:sz w:val="18"/>
                <w:szCs w:val="18"/>
                <w:lang w:bidi="he-IL"/>
              </w:rPr>
            </w:pPr>
          </w:p>
        </w:tc>
      </w:tr>
    </w:tbl>
    <w:p w:rsidR="006760EA" w:rsidRDefault="006760EA" w:rsidP="006760EA">
      <w:pPr>
        <w:spacing w:before="120" w:after="120" w:line="360" w:lineRule="auto"/>
        <w:jc w:val="both"/>
      </w:pPr>
    </w:p>
    <w:tbl>
      <w:tblPr>
        <w:tblW w:w="7820" w:type="dxa"/>
        <w:jc w:val="center"/>
        <w:tblLook w:val="04A0"/>
      </w:tblPr>
      <w:tblGrid>
        <w:gridCol w:w="2100"/>
        <w:gridCol w:w="2520"/>
        <w:gridCol w:w="960"/>
        <w:gridCol w:w="1280"/>
        <w:gridCol w:w="960"/>
      </w:tblGrid>
      <w:tr w:rsidR="006760EA" w:rsidRPr="00244342" w:rsidTr="00DC5D7B">
        <w:trPr>
          <w:trHeight w:val="690"/>
          <w:jc w:val="center"/>
        </w:trPr>
        <w:tc>
          <w:tcPr>
            <w:tcW w:w="2100" w:type="dxa"/>
            <w:vMerge w:val="restart"/>
            <w:tcBorders>
              <w:top w:val="double" w:sz="6" w:space="0" w:color="auto"/>
              <w:left w:val="double" w:sz="6" w:space="0" w:color="auto"/>
              <w:bottom w:val="double" w:sz="6" w:space="0" w:color="000000"/>
              <w:right w:val="single" w:sz="8" w:space="0" w:color="auto"/>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lastRenderedPageBreak/>
              <w:t>Ποσοστιαία απόκλιση Συνόλου Εξόδων  Γ' τριμήνου 2025</w:t>
            </w:r>
          </w:p>
        </w:tc>
        <w:tc>
          <w:tcPr>
            <w:tcW w:w="2520" w:type="dxa"/>
            <w:tcBorders>
              <w:top w:val="single" w:sz="8" w:space="0" w:color="auto"/>
              <w:left w:val="nil"/>
              <w:bottom w:val="single" w:sz="8" w:space="0" w:color="auto"/>
              <w:right w:val="nil"/>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t>Απόκλιση Συνόλου Εξόδων</w:t>
            </w:r>
          </w:p>
        </w:tc>
        <w:tc>
          <w:tcPr>
            <w:tcW w:w="960" w:type="dxa"/>
            <w:tcBorders>
              <w:top w:val="single" w:sz="8" w:space="0" w:color="auto"/>
              <w:left w:val="nil"/>
              <w:bottom w:val="single" w:sz="8" w:space="0" w:color="auto"/>
              <w:right w:val="nil"/>
            </w:tcBorders>
            <w:noWrap/>
            <w:vAlign w:val="center"/>
            <w:hideMark/>
          </w:tcPr>
          <w:p w:rsidR="006760EA" w:rsidRPr="00244342" w:rsidRDefault="006760EA" w:rsidP="00DC5D7B">
            <w:pPr>
              <w:rPr>
                <w:color w:val="000000"/>
                <w:sz w:val="18"/>
                <w:szCs w:val="18"/>
                <w:lang w:bidi="he-IL"/>
              </w:rPr>
            </w:pPr>
            <w:r w:rsidRPr="00244342">
              <w:rPr>
                <w:color w:val="000000"/>
                <w:sz w:val="18"/>
                <w:szCs w:val="18"/>
                <w:lang w:bidi="he-IL"/>
              </w:rPr>
              <w:t>Χ 100</w:t>
            </w:r>
          </w:p>
        </w:tc>
        <w:tc>
          <w:tcPr>
            <w:tcW w:w="1280" w:type="dxa"/>
            <w:tcBorders>
              <w:top w:val="single" w:sz="8" w:space="0" w:color="auto"/>
              <w:left w:val="nil"/>
              <w:bottom w:val="single" w:sz="8" w:space="0" w:color="auto"/>
              <w:right w:val="single" w:sz="8" w:space="0" w:color="auto"/>
            </w:tcBorders>
            <w:noWrap/>
            <w:vAlign w:val="center"/>
            <w:hideMark/>
          </w:tcPr>
          <w:p w:rsidR="006760EA" w:rsidRPr="00244342" w:rsidRDefault="006760EA" w:rsidP="00DC5D7B">
            <w:pPr>
              <w:jc w:val="right"/>
              <w:rPr>
                <w:color w:val="000000"/>
                <w:sz w:val="18"/>
                <w:szCs w:val="18"/>
                <w:lang w:bidi="he-IL"/>
              </w:rPr>
            </w:pPr>
            <w:r w:rsidRPr="00244342">
              <w:rPr>
                <w:color w:val="000000"/>
                <w:sz w:val="18"/>
                <w:szCs w:val="18"/>
                <w:lang w:bidi="he-IL"/>
              </w:rPr>
              <w:t>227.767</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rsidR="006760EA" w:rsidRPr="00244342" w:rsidRDefault="006760EA" w:rsidP="00DC5D7B">
            <w:pPr>
              <w:jc w:val="center"/>
              <w:rPr>
                <w:b/>
                <w:bCs/>
                <w:color w:val="000000"/>
                <w:sz w:val="18"/>
                <w:szCs w:val="18"/>
                <w:lang w:bidi="he-IL"/>
              </w:rPr>
            </w:pPr>
            <w:r w:rsidRPr="00244342">
              <w:rPr>
                <w:b/>
                <w:bCs/>
                <w:color w:val="000000"/>
                <w:sz w:val="18"/>
                <w:szCs w:val="18"/>
                <w:lang w:bidi="he-IL"/>
              </w:rPr>
              <w:t>1,35%</w:t>
            </w:r>
          </w:p>
        </w:tc>
      </w:tr>
      <w:tr w:rsidR="006760EA" w:rsidRPr="00244342" w:rsidTr="00DC5D7B">
        <w:trPr>
          <w:trHeight w:val="740"/>
          <w:jc w:val="center"/>
        </w:trPr>
        <w:tc>
          <w:tcPr>
            <w:tcW w:w="2100" w:type="dxa"/>
            <w:vMerge/>
            <w:tcBorders>
              <w:top w:val="double" w:sz="6" w:space="0" w:color="auto"/>
              <w:left w:val="double" w:sz="6" w:space="0" w:color="auto"/>
              <w:bottom w:val="double" w:sz="6" w:space="0" w:color="000000"/>
              <w:right w:val="single" w:sz="8" w:space="0" w:color="auto"/>
            </w:tcBorders>
            <w:vAlign w:val="center"/>
            <w:hideMark/>
          </w:tcPr>
          <w:p w:rsidR="006760EA" w:rsidRPr="00244342" w:rsidRDefault="006760EA" w:rsidP="00DC5D7B">
            <w:pPr>
              <w:rPr>
                <w:color w:val="000000"/>
                <w:sz w:val="18"/>
                <w:szCs w:val="18"/>
                <w:lang w:bidi="he-IL"/>
              </w:rPr>
            </w:pPr>
          </w:p>
        </w:tc>
        <w:tc>
          <w:tcPr>
            <w:tcW w:w="2520" w:type="dxa"/>
            <w:tcBorders>
              <w:top w:val="single" w:sz="8" w:space="0" w:color="auto"/>
              <w:left w:val="nil"/>
              <w:bottom w:val="single" w:sz="8" w:space="0" w:color="auto"/>
              <w:right w:val="nil"/>
            </w:tcBorders>
            <w:vAlign w:val="center"/>
            <w:hideMark/>
          </w:tcPr>
          <w:p w:rsidR="006760EA" w:rsidRPr="00244342" w:rsidRDefault="006760EA" w:rsidP="00DC5D7B">
            <w:pPr>
              <w:jc w:val="center"/>
              <w:rPr>
                <w:color w:val="000000"/>
                <w:sz w:val="18"/>
                <w:szCs w:val="18"/>
                <w:lang w:bidi="he-IL"/>
              </w:rPr>
            </w:pPr>
            <w:r w:rsidRPr="00244342">
              <w:rPr>
                <w:color w:val="000000"/>
                <w:sz w:val="18"/>
                <w:szCs w:val="18"/>
                <w:lang w:bidi="he-IL"/>
              </w:rPr>
              <w:t>Στόχος Συνόλου Εξόδων</w:t>
            </w:r>
          </w:p>
        </w:tc>
        <w:tc>
          <w:tcPr>
            <w:tcW w:w="960" w:type="dxa"/>
            <w:tcBorders>
              <w:top w:val="nil"/>
              <w:left w:val="nil"/>
              <w:bottom w:val="single" w:sz="8" w:space="0" w:color="auto"/>
              <w:right w:val="nil"/>
            </w:tcBorders>
            <w:noWrap/>
            <w:vAlign w:val="center"/>
            <w:hideMark/>
          </w:tcPr>
          <w:p w:rsidR="006760EA" w:rsidRPr="00244342" w:rsidRDefault="006760EA" w:rsidP="00DC5D7B">
            <w:pPr>
              <w:rPr>
                <w:color w:val="000000"/>
                <w:sz w:val="18"/>
                <w:szCs w:val="18"/>
                <w:lang w:bidi="he-IL"/>
              </w:rPr>
            </w:pPr>
            <w:r w:rsidRPr="00244342">
              <w:rPr>
                <w:color w:val="000000"/>
                <w:sz w:val="18"/>
                <w:szCs w:val="18"/>
                <w:lang w:bidi="he-IL"/>
              </w:rPr>
              <w:t> </w:t>
            </w:r>
          </w:p>
        </w:tc>
        <w:tc>
          <w:tcPr>
            <w:tcW w:w="1280" w:type="dxa"/>
            <w:tcBorders>
              <w:top w:val="nil"/>
              <w:left w:val="nil"/>
              <w:bottom w:val="single" w:sz="8" w:space="0" w:color="auto"/>
              <w:right w:val="single" w:sz="8" w:space="0" w:color="auto"/>
            </w:tcBorders>
            <w:noWrap/>
            <w:vAlign w:val="center"/>
            <w:hideMark/>
          </w:tcPr>
          <w:p w:rsidR="006760EA" w:rsidRPr="00244342" w:rsidRDefault="006760EA" w:rsidP="00DC5D7B">
            <w:pPr>
              <w:jc w:val="right"/>
              <w:rPr>
                <w:color w:val="000000"/>
                <w:sz w:val="18"/>
                <w:szCs w:val="18"/>
                <w:lang w:bidi="he-IL"/>
              </w:rPr>
            </w:pPr>
            <w:r w:rsidRPr="00244342">
              <w:rPr>
                <w:color w:val="000000"/>
                <w:sz w:val="18"/>
                <w:szCs w:val="18"/>
                <w:lang w:bidi="he-IL"/>
              </w:rPr>
              <w:t>16.838.979</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760EA" w:rsidRPr="00244342" w:rsidRDefault="006760EA" w:rsidP="00DC5D7B">
            <w:pPr>
              <w:rPr>
                <w:b/>
                <w:bCs/>
                <w:color w:val="000000"/>
                <w:sz w:val="18"/>
                <w:szCs w:val="18"/>
                <w:lang w:bidi="he-IL"/>
              </w:rPr>
            </w:pPr>
          </w:p>
        </w:tc>
      </w:tr>
    </w:tbl>
    <w:p w:rsidR="006760EA" w:rsidRPr="005D6A91" w:rsidRDefault="006760EA" w:rsidP="006760EA">
      <w:pPr>
        <w:spacing w:before="120" w:line="360" w:lineRule="auto"/>
        <w:jc w:val="center"/>
        <w:rPr>
          <w:rFonts w:ascii="Calibri" w:hAnsi="Calibri" w:cs="Calibri"/>
          <w:b/>
          <w:bCs/>
          <w:color w:val="000000" w:themeColor="text1"/>
          <w:sz w:val="24"/>
          <w:szCs w:val="24"/>
        </w:rPr>
      </w:pPr>
      <w:r w:rsidRPr="00057497">
        <w:rPr>
          <w:rFonts w:ascii="Calibri" w:hAnsi="Calibri" w:cs="Calibri"/>
          <w:b/>
          <w:bCs/>
          <w:color w:val="000000" w:themeColor="text1"/>
          <w:sz w:val="24"/>
          <w:szCs w:val="24"/>
        </w:rPr>
        <w:t>Κατόπιν των ανωτέρω</w:t>
      </w:r>
    </w:p>
    <w:p w:rsidR="006760EA" w:rsidRPr="005D6A91" w:rsidRDefault="006760EA" w:rsidP="006760EA">
      <w:pPr>
        <w:spacing w:before="120" w:after="120"/>
        <w:jc w:val="both"/>
        <w:rPr>
          <w:rFonts w:ascii="Calibri" w:hAnsi="Calibri" w:cs="Calibri"/>
          <w:sz w:val="24"/>
          <w:szCs w:val="24"/>
        </w:rPr>
      </w:pPr>
      <w:r>
        <w:rPr>
          <w:rFonts w:ascii="Calibri" w:hAnsi="Calibri" w:cs="Calibri"/>
          <w:sz w:val="24"/>
          <w:szCs w:val="24"/>
        </w:rPr>
        <w:t xml:space="preserve"> Σύμφωνα με τις διατάξεις της παρ. 9 του άρθ. 266 του Ν. 3852/2010, όπως τροποποιήθηκε από την παρ. 4 του άρθ. 43 του Ν. 3979/2011 και το άρθ. 39 του Ν. 4257/2014.</w:t>
      </w:r>
    </w:p>
    <w:p w:rsidR="006760EA" w:rsidRDefault="006760EA" w:rsidP="006760EA">
      <w:pPr>
        <w:spacing w:before="120" w:after="120"/>
        <w:jc w:val="center"/>
        <w:rPr>
          <w:rFonts w:ascii="Calibri" w:hAnsi="Calibri" w:cs="Calibri"/>
          <w:b/>
          <w:sz w:val="24"/>
          <w:u w:val="single"/>
        </w:rPr>
      </w:pPr>
    </w:p>
    <w:p w:rsidR="006760EA" w:rsidRDefault="006760EA" w:rsidP="006760EA">
      <w:pPr>
        <w:spacing w:before="120" w:after="120"/>
        <w:jc w:val="center"/>
        <w:rPr>
          <w:rFonts w:ascii="Calibri" w:hAnsi="Calibri" w:cs="Calibri"/>
          <w:b/>
          <w:sz w:val="24"/>
          <w:u w:val="single"/>
        </w:rPr>
      </w:pPr>
      <w:r>
        <w:rPr>
          <w:rFonts w:ascii="Calibri" w:hAnsi="Calibri" w:cs="Calibri"/>
          <w:b/>
          <w:sz w:val="24"/>
          <w:u w:val="single"/>
        </w:rPr>
        <w:t>Υποβάλουμε στην Δημοτική Επιτροπή</w:t>
      </w:r>
    </w:p>
    <w:p w:rsidR="006760EA" w:rsidRPr="003B472F" w:rsidRDefault="006760EA" w:rsidP="006760EA">
      <w:pPr>
        <w:spacing w:before="120" w:after="120" w:line="276" w:lineRule="auto"/>
        <w:jc w:val="both"/>
        <w:rPr>
          <w:rFonts w:ascii="Calibri" w:hAnsi="Calibri" w:cs="Calibri"/>
          <w:sz w:val="24"/>
        </w:rPr>
      </w:pPr>
      <w:r>
        <w:rPr>
          <w:rFonts w:ascii="Calibri" w:hAnsi="Calibri" w:cs="Calibri"/>
          <w:sz w:val="24"/>
        </w:rPr>
        <w:t xml:space="preserve">Την παρούσα έκθεση αποτελεσμάτων εκτέλεσης του προϋπολογισμού μέχρι 30/9/2025 προκειμένου να υποβάλει την δική της έκθεση στο Δημοτικό Συμβούλιο, στην οποία </w:t>
      </w:r>
      <w:r w:rsidRPr="00B314C7">
        <w:rPr>
          <w:rFonts w:ascii="Calibri" w:hAnsi="Calibri" w:cs="Calibri"/>
          <w:sz w:val="24"/>
        </w:rPr>
        <w:t>διατυπώνονται και οι τυχόν παρατηρήσεις της μειοψη</w:t>
      </w:r>
      <w:r w:rsidRPr="00B314C7">
        <w:rPr>
          <w:rFonts w:ascii="Calibri" w:hAnsi="Calibri" w:cs="Calibri"/>
          <w:sz w:val="24"/>
        </w:rPr>
        <w:softHyphen/>
        <w:t xml:space="preserve">φίας </w:t>
      </w:r>
      <w:r w:rsidRPr="003B472F">
        <w:rPr>
          <w:rFonts w:ascii="Calibri" w:hAnsi="Calibri" w:cs="Calibri"/>
          <w:sz w:val="24"/>
        </w:rPr>
        <w:t>.</w:t>
      </w:r>
      <w:r>
        <w:rPr>
          <w:rFonts w:ascii="Calibri" w:hAnsi="Calibri" w:cs="Calibri"/>
          <w:sz w:val="24"/>
        </w:rPr>
        <w:t xml:space="preserve">     </w:t>
      </w:r>
    </w:p>
    <w:p w:rsidR="00B42EC8" w:rsidRPr="006760EA" w:rsidRDefault="005D6A91" w:rsidP="00984B76">
      <w:pPr>
        <w:spacing w:before="120" w:after="120"/>
        <w:jc w:val="both"/>
        <w:rPr>
          <w:rFonts w:asciiTheme="minorHAnsi" w:hAnsiTheme="minorHAnsi" w:cstheme="minorHAnsi"/>
          <w:sz w:val="22"/>
          <w:szCs w:val="22"/>
        </w:rPr>
      </w:pPr>
      <w:r w:rsidRPr="006760EA">
        <w:rPr>
          <w:rFonts w:asciiTheme="minorHAnsi" w:hAnsiTheme="minorHAnsi" w:cstheme="minorHAnsi"/>
          <w:sz w:val="22"/>
          <w:szCs w:val="22"/>
        </w:rPr>
        <w:tab/>
      </w:r>
      <w:r w:rsidR="00984B76" w:rsidRPr="006760EA">
        <w:rPr>
          <w:rFonts w:asciiTheme="minorHAnsi" w:hAnsiTheme="minorHAnsi" w:cstheme="minorHAnsi"/>
          <w:sz w:val="22"/>
          <w:szCs w:val="22"/>
        </w:rPr>
        <w:tab/>
      </w:r>
      <w:r w:rsidR="00984B76" w:rsidRPr="006760EA">
        <w:rPr>
          <w:rFonts w:asciiTheme="minorHAnsi" w:hAnsiTheme="minorHAnsi" w:cstheme="minorHAnsi"/>
          <w:sz w:val="22"/>
          <w:szCs w:val="22"/>
        </w:rPr>
        <w:tab/>
        <w:t xml:space="preserve">       </w:t>
      </w:r>
    </w:p>
    <w:p w:rsidR="00DC5911" w:rsidRPr="006760EA" w:rsidRDefault="00DC5911" w:rsidP="00DC5911">
      <w:pPr>
        <w:pStyle w:val="Standard"/>
        <w:spacing w:before="120" w:after="120"/>
        <w:jc w:val="both"/>
        <w:rPr>
          <w:rFonts w:asciiTheme="minorHAnsi" w:hAnsiTheme="minorHAnsi" w:cstheme="minorHAnsi"/>
          <w:sz w:val="22"/>
          <w:szCs w:val="22"/>
          <w:highlight w:val="white"/>
          <w:lang w:val="el-GR"/>
        </w:rPr>
      </w:pPr>
      <w:r w:rsidRPr="006760EA">
        <w:rPr>
          <w:rFonts w:asciiTheme="minorHAnsi" w:hAnsiTheme="minorHAnsi" w:cstheme="minorHAnsi"/>
          <w:sz w:val="22"/>
          <w:szCs w:val="22"/>
          <w:lang w:val="el-GR"/>
        </w:rPr>
        <w:t xml:space="preserve">Στη συνέχεια ο </w:t>
      </w:r>
      <w:r w:rsidR="00761190">
        <w:rPr>
          <w:rFonts w:asciiTheme="minorHAnsi" w:hAnsiTheme="minorHAnsi" w:cstheme="minorHAnsi"/>
          <w:sz w:val="22"/>
          <w:szCs w:val="22"/>
          <w:lang w:val="el-GR"/>
        </w:rPr>
        <w:t xml:space="preserve"> Αντιπ</w:t>
      </w:r>
      <w:r w:rsidRPr="006760EA">
        <w:rPr>
          <w:rFonts w:asciiTheme="minorHAnsi" w:hAnsiTheme="minorHAnsi" w:cstheme="minorHAnsi"/>
          <w:sz w:val="22"/>
          <w:szCs w:val="22"/>
          <w:lang w:val="el-GR"/>
        </w:rPr>
        <w:t>ρόεδρος κάλεσε τα μέλη να αποφασίσουν σχετικά.</w:t>
      </w:r>
    </w:p>
    <w:p w:rsidR="00DC5911" w:rsidRPr="006760EA" w:rsidRDefault="00DC5911" w:rsidP="00DC5911">
      <w:pPr>
        <w:tabs>
          <w:tab w:val="left" w:pos="0"/>
        </w:tabs>
        <w:spacing w:line="276" w:lineRule="auto"/>
        <w:jc w:val="both"/>
        <w:rPr>
          <w:rFonts w:asciiTheme="minorHAnsi" w:hAnsiTheme="minorHAnsi" w:cstheme="minorHAnsi"/>
          <w:sz w:val="22"/>
          <w:szCs w:val="22"/>
        </w:rPr>
      </w:pPr>
      <w:r w:rsidRPr="006760EA">
        <w:rPr>
          <w:rFonts w:asciiTheme="minorHAnsi" w:hAnsiTheme="minorHAnsi" w:cstheme="minorHAnsi"/>
          <w:sz w:val="22"/>
          <w:szCs w:val="22"/>
        </w:rPr>
        <w:t xml:space="preserve">  </w:t>
      </w:r>
      <w:r w:rsidRPr="006760EA">
        <w:rPr>
          <w:rFonts w:asciiTheme="minorHAnsi" w:hAnsiTheme="minorHAnsi" w:cstheme="minorHAnsi"/>
          <w:b/>
          <w:bCs/>
          <w:sz w:val="22"/>
          <w:szCs w:val="22"/>
        </w:rPr>
        <w:t xml:space="preserve"> </w:t>
      </w:r>
      <w:r w:rsidRPr="006760EA">
        <w:rPr>
          <w:rFonts w:asciiTheme="minorHAnsi" w:hAnsiTheme="minorHAnsi" w:cstheme="minorHAnsi"/>
          <w:sz w:val="22"/>
          <w:szCs w:val="22"/>
        </w:rPr>
        <w:t xml:space="preserve">  </w:t>
      </w:r>
    </w:p>
    <w:p w:rsidR="00DC5911" w:rsidRPr="006760EA" w:rsidRDefault="00DC5911" w:rsidP="00DC5911">
      <w:pPr>
        <w:widowControl w:val="0"/>
        <w:tabs>
          <w:tab w:val="left" w:pos="419"/>
        </w:tabs>
        <w:autoSpaceDE w:val="0"/>
        <w:autoSpaceDN w:val="0"/>
        <w:spacing w:line="251" w:lineRule="exact"/>
        <w:ind w:right="506"/>
        <w:rPr>
          <w:rFonts w:asciiTheme="minorHAnsi" w:hAnsiTheme="minorHAnsi" w:cstheme="minorHAnsi"/>
          <w:sz w:val="22"/>
          <w:szCs w:val="22"/>
        </w:rPr>
      </w:pPr>
      <w:r w:rsidRPr="006760EA">
        <w:rPr>
          <w:rFonts w:asciiTheme="minorHAnsi" w:hAnsiTheme="minorHAnsi" w:cstheme="minorHAnsi"/>
          <w:sz w:val="22"/>
          <w:szCs w:val="22"/>
        </w:rPr>
        <w:t xml:space="preserve"> </w:t>
      </w:r>
    </w:p>
    <w:p w:rsidR="00DC5911" w:rsidRPr="006760EA" w:rsidRDefault="00DC5911" w:rsidP="00DC5911">
      <w:pPr>
        <w:ind w:hanging="432"/>
        <w:rPr>
          <w:rFonts w:asciiTheme="minorHAnsi" w:eastAsia="Arial" w:hAnsiTheme="minorHAnsi" w:cstheme="minorHAnsi"/>
          <w:b/>
          <w:kern w:val="1"/>
          <w:sz w:val="22"/>
          <w:szCs w:val="22"/>
          <w:lang w:bidi="hi-IN"/>
        </w:rPr>
      </w:pPr>
      <w:r w:rsidRPr="006760EA">
        <w:rPr>
          <w:rFonts w:asciiTheme="minorHAnsi" w:eastAsia="Arial" w:hAnsiTheme="minorHAnsi" w:cstheme="minorHAnsi"/>
          <w:sz w:val="22"/>
          <w:szCs w:val="22"/>
        </w:rPr>
        <w:t xml:space="preserve">      </w:t>
      </w:r>
      <w:r w:rsidRPr="006760EA">
        <w:rPr>
          <w:rFonts w:asciiTheme="minorHAnsi" w:eastAsia="Arial" w:hAnsiTheme="minorHAnsi" w:cstheme="minorHAnsi"/>
          <w:b/>
          <w:kern w:val="1"/>
          <w:sz w:val="22"/>
          <w:szCs w:val="22"/>
          <w:lang w:bidi="hi-IN"/>
        </w:rPr>
        <w:t>Η Δημοτική  Επιτροπή  λαμβάνοντας υπόψη:</w:t>
      </w:r>
    </w:p>
    <w:p w:rsidR="00DC5911" w:rsidRPr="006760EA" w:rsidRDefault="00DC5911" w:rsidP="00DC5911">
      <w:pPr>
        <w:ind w:hanging="432"/>
        <w:rPr>
          <w:rFonts w:asciiTheme="minorHAnsi" w:eastAsia="Arial" w:hAnsiTheme="minorHAnsi" w:cstheme="minorHAnsi"/>
          <w:b/>
          <w:kern w:val="1"/>
          <w:sz w:val="22"/>
          <w:szCs w:val="22"/>
          <w:lang w:bidi="hi-IN"/>
        </w:rPr>
      </w:pPr>
    </w:p>
    <w:p w:rsidR="00DC5911" w:rsidRPr="006760EA" w:rsidRDefault="00DC5911" w:rsidP="00DC5911">
      <w:pPr>
        <w:pStyle w:val="a5"/>
        <w:spacing w:line="288" w:lineRule="auto"/>
        <w:rPr>
          <w:rFonts w:asciiTheme="minorHAnsi" w:hAnsiTheme="minorHAnsi" w:cstheme="minorHAnsi"/>
          <w:szCs w:val="22"/>
        </w:rPr>
      </w:pPr>
      <w:r w:rsidRPr="006760EA">
        <w:rPr>
          <w:rFonts w:asciiTheme="minorHAnsi" w:hAnsiTheme="minorHAnsi" w:cstheme="minorHAnsi"/>
          <w:szCs w:val="22"/>
        </w:rPr>
        <w:t>Τις διατάξεις του   άρθρου 74</w:t>
      </w:r>
      <w:r w:rsidRPr="006760EA">
        <w:rPr>
          <w:rFonts w:asciiTheme="minorHAnsi" w:hAnsiTheme="minorHAnsi" w:cstheme="minorHAnsi"/>
          <w:szCs w:val="22"/>
          <w:vertAlign w:val="superscript"/>
        </w:rPr>
        <w:t>Α</w:t>
      </w:r>
      <w:r w:rsidRPr="006760EA">
        <w:rPr>
          <w:rFonts w:asciiTheme="minorHAnsi" w:hAnsiTheme="minorHAnsi" w:cstheme="minorHAnsi"/>
          <w:szCs w:val="22"/>
        </w:rPr>
        <w:t xml:space="preserve"> παρ. 1 του Ν. 3852/2010 όπως αυτό τροποποιήθηκε από το άρθρο 9 του Ν. 5056/2023 - Αρμοδιότητες Δημοτικής Επιτροπής</w:t>
      </w:r>
    </w:p>
    <w:p w:rsidR="00DC5911" w:rsidRPr="006760EA" w:rsidRDefault="00DC5911" w:rsidP="00DC5911">
      <w:pPr>
        <w:rPr>
          <w:rFonts w:asciiTheme="minorHAnsi" w:hAnsiTheme="minorHAnsi" w:cstheme="minorHAnsi"/>
          <w:sz w:val="22"/>
          <w:szCs w:val="22"/>
        </w:rPr>
      </w:pPr>
      <w:r w:rsidRPr="006760EA">
        <w:rPr>
          <w:rFonts w:asciiTheme="minorHAnsi" w:hAnsiTheme="minorHAnsi" w:cstheme="minorHAnsi"/>
          <w:sz w:val="22"/>
          <w:szCs w:val="22"/>
        </w:rPr>
        <w:t xml:space="preserve">-Την  </w:t>
      </w:r>
      <w:proofErr w:type="spellStart"/>
      <w:r w:rsidRPr="006760EA">
        <w:rPr>
          <w:rFonts w:asciiTheme="minorHAnsi" w:hAnsiTheme="minorHAnsi" w:cstheme="minorHAnsi"/>
          <w:sz w:val="22"/>
          <w:szCs w:val="22"/>
        </w:rPr>
        <w:t>υπ΄αριθ</w:t>
      </w:r>
      <w:proofErr w:type="spellEnd"/>
      <w:r w:rsidRPr="006760EA">
        <w:rPr>
          <w:rFonts w:asciiTheme="minorHAnsi" w:hAnsiTheme="minorHAnsi" w:cstheme="minorHAnsi"/>
          <w:sz w:val="22"/>
          <w:szCs w:val="22"/>
        </w:rPr>
        <w:t xml:space="preserve">. </w:t>
      </w:r>
      <w:proofErr w:type="spellStart"/>
      <w:r w:rsidRPr="006760EA">
        <w:rPr>
          <w:rFonts w:asciiTheme="minorHAnsi" w:hAnsiTheme="minorHAnsi" w:cstheme="minorHAnsi"/>
          <w:sz w:val="22"/>
          <w:szCs w:val="22"/>
        </w:rPr>
        <w:t>πρωτ</w:t>
      </w:r>
      <w:proofErr w:type="spellEnd"/>
      <w:r w:rsidRPr="006760EA">
        <w:rPr>
          <w:rFonts w:asciiTheme="minorHAnsi" w:hAnsiTheme="minorHAnsi" w:cstheme="minorHAnsi"/>
          <w:sz w:val="22"/>
          <w:szCs w:val="22"/>
        </w:rPr>
        <w:t xml:space="preserve">.  </w:t>
      </w:r>
      <w:r w:rsidR="00901567" w:rsidRPr="006760EA">
        <w:rPr>
          <w:rFonts w:asciiTheme="minorHAnsi" w:hAnsiTheme="minorHAnsi" w:cstheme="minorHAnsi"/>
          <w:sz w:val="22"/>
          <w:szCs w:val="22"/>
        </w:rPr>
        <w:t>22624</w:t>
      </w:r>
      <w:r w:rsidRPr="006760EA">
        <w:rPr>
          <w:rFonts w:asciiTheme="minorHAnsi" w:hAnsiTheme="minorHAnsi" w:cstheme="minorHAnsi"/>
          <w:sz w:val="22"/>
          <w:szCs w:val="22"/>
        </w:rPr>
        <w:t>/0</w:t>
      </w:r>
      <w:r w:rsidR="00901567" w:rsidRPr="006760EA">
        <w:rPr>
          <w:rFonts w:asciiTheme="minorHAnsi" w:hAnsiTheme="minorHAnsi" w:cstheme="minorHAnsi"/>
          <w:sz w:val="22"/>
          <w:szCs w:val="22"/>
        </w:rPr>
        <w:t>5</w:t>
      </w:r>
      <w:r w:rsidRPr="006760EA">
        <w:rPr>
          <w:rFonts w:asciiTheme="minorHAnsi" w:hAnsiTheme="minorHAnsi" w:cstheme="minorHAnsi"/>
          <w:sz w:val="22"/>
          <w:szCs w:val="22"/>
        </w:rPr>
        <w:t>-</w:t>
      </w:r>
      <w:r w:rsidR="00901567" w:rsidRPr="006760EA">
        <w:rPr>
          <w:rFonts w:asciiTheme="minorHAnsi" w:hAnsiTheme="minorHAnsi" w:cstheme="minorHAnsi"/>
          <w:sz w:val="22"/>
          <w:szCs w:val="22"/>
        </w:rPr>
        <w:t>11</w:t>
      </w:r>
      <w:r w:rsidRPr="006760EA">
        <w:rPr>
          <w:rFonts w:asciiTheme="minorHAnsi" w:eastAsia="Arial" w:hAnsiTheme="minorHAnsi" w:cstheme="minorHAnsi"/>
          <w:b/>
          <w:sz w:val="22"/>
          <w:szCs w:val="22"/>
        </w:rPr>
        <w:t>-</w:t>
      </w:r>
      <w:r w:rsidRPr="006760EA">
        <w:rPr>
          <w:rFonts w:asciiTheme="minorHAnsi" w:eastAsia="Arial" w:hAnsiTheme="minorHAnsi" w:cstheme="minorHAnsi"/>
          <w:sz w:val="22"/>
          <w:szCs w:val="22"/>
        </w:rPr>
        <w:t xml:space="preserve">2025  </w:t>
      </w:r>
      <w:r w:rsidRPr="006760EA">
        <w:rPr>
          <w:rFonts w:asciiTheme="minorHAnsi" w:hAnsiTheme="minorHAnsi" w:cstheme="minorHAnsi"/>
          <w:sz w:val="22"/>
          <w:szCs w:val="22"/>
        </w:rPr>
        <w:t>έκθεση  της Αν. Προϊσταμένης   της Δ/</w:t>
      </w:r>
      <w:proofErr w:type="spellStart"/>
      <w:r w:rsidRPr="006760EA">
        <w:rPr>
          <w:rFonts w:asciiTheme="minorHAnsi" w:hAnsiTheme="minorHAnsi" w:cstheme="minorHAnsi"/>
          <w:sz w:val="22"/>
          <w:szCs w:val="22"/>
        </w:rPr>
        <w:t>νσης</w:t>
      </w:r>
      <w:proofErr w:type="spellEnd"/>
      <w:r w:rsidRPr="006760EA">
        <w:rPr>
          <w:rFonts w:asciiTheme="minorHAnsi" w:hAnsiTheme="minorHAnsi" w:cstheme="minorHAnsi"/>
          <w:sz w:val="22"/>
          <w:szCs w:val="22"/>
        </w:rPr>
        <w:t xml:space="preserve"> Οικονομικών Υπηρεσιών.</w:t>
      </w:r>
    </w:p>
    <w:p w:rsidR="00DC5911" w:rsidRPr="006760EA" w:rsidRDefault="00DC5911" w:rsidP="00DC5911">
      <w:pPr>
        <w:rPr>
          <w:rFonts w:asciiTheme="minorHAnsi" w:hAnsiTheme="minorHAnsi" w:cstheme="minorHAnsi"/>
          <w:sz w:val="22"/>
          <w:szCs w:val="22"/>
        </w:rPr>
      </w:pPr>
      <w:r w:rsidRPr="006760EA">
        <w:rPr>
          <w:rFonts w:asciiTheme="minorHAnsi" w:hAnsiTheme="minorHAnsi" w:cstheme="minorHAnsi"/>
          <w:sz w:val="22"/>
          <w:szCs w:val="22"/>
        </w:rPr>
        <w:t>-Τα υποβληθέντα από την Οικονομική Υπηρεσία στοιχεία που πρέπει να περιλαμβάνονται στην τριμηνιαία έκθεση ως προς τα αποτελέσματα εκτέλεσης του προϋπολογισμού του Δήμου μέχρι την  30/0</w:t>
      </w:r>
      <w:r w:rsidR="00901567" w:rsidRPr="006760EA">
        <w:rPr>
          <w:rFonts w:asciiTheme="minorHAnsi" w:hAnsiTheme="minorHAnsi" w:cstheme="minorHAnsi"/>
          <w:sz w:val="22"/>
          <w:szCs w:val="22"/>
        </w:rPr>
        <w:t>9</w:t>
      </w:r>
      <w:r w:rsidRPr="006760EA">
        <w:rPr>
          <w:rFonts w:asciiTheme="minorHAnsi" w:hAnsiTheme="minorHAnsi" w:cstheme="minorHAnsi"/>
          <w:sz w:val="22"/>
          <w:szCs w:val="22"/>
        </w:rPr>
        <w:t>/2025 (</w:t>
      </w:r>
      <w:proofErr w:type="spellStart"/>
      <w:r w:rsidR="00901567" w:rsidRPr="006760EA">
        <w:rPr>
          <w:rFonts w:asciiTheme="minorHAnsi" w:hAnsiTheme="minorHAnsi" w:cstheme="minorHAnsi"/>
          <w:sz w:val="22"/>
          <w:szCs w:val="22"/>
        </w:rPr>
        <w:t>Γ</w:t>
      </w:r>
      <w:r w:rsidRPr="006760EA">
        <w:rPr>
          <w:rFonts w:asciiTheme="minorHAnsi" w:hAnsiTheme="minorHAnsi" w:cstheme="minorHAnsi"/>
          <w:sz w:val="22"/>
          <w:szCs w:val="22"/>
        </w:rPr>
        <w:t>΄τρίμηνο</w:t>
      </w:r>
      <w:proofErr w:type="spellEnd"/>
      <w:r w:rsidRPr="006760EA">
        <w:rPr>
          <w:rFonts w:asciiTheme="minorHAnsi" w:hAnsiTheme="minorHAnsi" w:cstheme="minorHAnsi"/>
          <w:sz w:val="22"/>
          <w:szCs w:val="22"/>
        </w:rPr>
        <w:t xml:space="preserve">) </w:t>
      </w:r>
    </w:p>
    <w:p w:rsidR="00DC5911" w:rsidRPr="006760EA" w:rsidRDefault="00DC5911" w:rsidP="00DC5911">
      <w:pPr>
        <w:rPr>
          <w:rFonts w:asciiTheme="minorHAnsi" w:hAnsiTheme="minorHAnsi" w:cstheme="minorHAnsi"/>
          <w:sz w:val="22"/>
          <w:szCs w:val="22"/>
        </w:rPr>
      </w:pPr>
      <w:r w:rsidRPr="006760EA">
        <w:rPr>
          <w:rFonts w:asciiTheme="minorHAnsi" w:hAnsiTheme="minorHAnsi" w:cstheme="minorHAnsi"/>
          <w:sz w:val="22"/>
          <w:szCs w:val="22"/>
        </w:rPr>
        <w:t xml:space="preserve">-την  παρ. 9. του άρθρου 266 του Ν. 3852/2010 , όπως τροποποιήθηκε και συμπληρώθηκε με </w:t>
      </w:r>
      <w:r w:rsidR="00181EDA" w:rsidRPr="006760EA">
        <w:rPr>
          <w:rFonts w:asciiTheme="minorHAnsi" w:hAnsiTheme="minorHAnsi" w:cstheme="minorHAnsi"/>
          <w:sz w:val="22"/>
          <w:szCs w:val="22"/>
        </w:rPr>
        <w:t xml:space="preserve"> τ</w:t>
      </w:r>
      <w:r w:rsidRPr="006760EA">
        <w:rPr>
          <w:rFonts w:asciiTheme="minorHAnsi" w:hAnsiTheme="minorHAnsi" w:cstheme="minorHAnsi"/>
          <w:sz w:val="22"/>
          <w:szCs w:val="22"/>
        </w:rPr>
        <w:t>η</w:t>
      </w:r>
      <w:r w:rsidR="00181EDA" w:rsidRPr="006760EA">
        <w:rPr>
          <w:rFonts w:asciiTheme="minorHAnsi" w:hAnsiTheme="minorHAnsi" w:cstheme="minorHAnsi"/>
          <w:sz w:val="22"/>
          <w:szCs w:val="22"/>
        </w:rPr>
        <w:t xml:space="preserve"> </w:t>
      </w:r>
      <w:r w:rsidRPr="006760EA">
        <w:rPr>
          <w:rFonts w:asciiTheme="minorHAnsi" w:hAnsiTheme="minorHAnsi" w:cstheme="minorHAnsi"/>
          <w:sz w:val="22"/>
          <w:szCs w:val="22"/>
        </w:rPr>
        <w:t xml:space="preserve">παρ. 4 του άρθρου 43 του Ν. 3979/2011 που αντικαταστάθηκε με το άρθρο 39 του Ν. 4257/14 </w:t>
      </w:r>
    </w:p>
    <w:p w:rsidR="00DC5911" w:rsidRPr="006760EA" w:rsidRDefault="00DC5911" w:rsidP="00DC5911">
      <w:pPr>
        <w:spacing w:after="120"/>
        <w:ind w:right="-199"/>
        <w:jc w:val="both"/>
        <w:rPr>
          <w:rFonts w:asciiTheme="minorHAnsi" w:hAnsiTheme="minorHAnsi" w:cstheme="minorHAnsi"/>
          <w:sz w:val="22"/>
          <w:szCs w:val="22"/>
        </w:rPr>
      </w:pPr>
      <w:r w:rsidRPr="006760EA">
        <w:rPr>
          <w:rFonts w:asciiTheme="minorHAnsi" w:hAnsiTheme="minorHAnsi" w:cstheme="minorHAnsi"/>
          <w:sz w:val="22"/>
          <w:szCs w:val="22"/>
        </w:rPr>
        <w:t xml:space="preserve">-Την υπ' </w:t>
      </w:r>
      <w:proofErr w:type="spellStart"/>
      <w:r w:rsidRPr="006760EA">
        <w:rPr>
          <w:rFonts w:asciiTheme="minorHAnsi" w:hAnsiTheme="minorHAnsi" w:cstheme="minorHAnsi"/>
          <w:sz w:val="22"/>
          <w:szCs w:val="22"/>
        </w:rPr>
        <w:t>αριθμ</w:t>
      </w:r>
      <w:proofErr w:type="spellEnd"/>
      <w:r w:rsidRPr="006760EA">
        <w:rPr>
          <w:rFonts w:asciiTheme="minorHAnsi" w:hAnsiTheme="minorHAnsi" w:cstheme="minorHAnsi"/>
          <w:sz w:val="22"/>
          <w:szCs w:val="22"/>
        </w:rPr>
        <w:t>. 56415/2024 Κοινή Απόφαση των Υπουργών Εσωτερικών και Οικονομικών «Παροχή οδηγιών για την κατάρτιση του προϋπολογισμού των δήμων, οικονομικού έτους 2025 (ΦΕΚ Β΄ 4457/31-7-2024) ».</w:t>
      </w:r>
    </w:p>
    <w:p w:rsidR="00DC5911" w:rsidRPr="006760EA" w:rsidRDefault="00DC5911" w:rsidP="00DC5911">
      <w:pPr>
        <w:tabs>
          <w:tab w:val="left" w:pos="559"/>
          <w:tab w:val="left" w:pos="1555"/>
        </w:tabs>
        <w:spacing w:line="276" w:lineRule="auto"/>
        <w:rPr>
          <w:rFonts w:asciiTheme="minorHAnsi" w:hAnsiTheme="minorHAnsi" w:cstheme="minorHAnsi"/>
          <w:sz w:val="22"/>
          <w:szCs w:val="22"/>
        </w:rPr>
      </w:pPr>
      <w:r w:rsidRPr="006760EA">
        <w:rPr>
          <w:rFonts w:asciiTheme="minorHAnsi" w:hAnsiTheme="minorHAnsi" w:cstheme="minorHAnsi"/>
          <w:sz w:val="22"/>
          <w:szCs w:val="22"/>
        </w:rPr>
        <w:t>-Την μεταξύ των μελών συζήτηση σύμφωνα με τα πρακτικά</w:t>
      </w:r>
    </w:p>
    <w:p w:rsidR="00DC5911" w:rsidRPr="006760EA" w:rsidRDefault="00DC5911" w:rsidP="00DC5911">
      <w:pPr>
        <w:widowControl w:val="0"/>
        <w:jc w:val="both"/>
        <w:rPr>
          <w:rFonts w:asciiTheme="minorHAnsi" w:hAnsiTheme="minorHAnsi" w:cstheme="minorHAnsi"/>
          <w:sz w:val="22"/>
          <w:szCs w:val="22"/>
        </w:rPr>
      </w:pPr>
      <w:r w:rsidRPr="006760EA">
        <w:rPr>
          <w:rFonts w:asciiTheme="minorHAnsi" w:hAnsiTheme="minorHAnsi" w:cstheme="minorHAnsi"/>
          <w:sz w:val="22"/>
          <w:szCs w:val="22"/>
        </w:rPr>
        <w:t>-Την ψήφο των μελών της όπως αυτή  διατυπώθηκε και δηλώθηκε δια ζώσης στην συνεδρίαση.</w:t>
      </w:r>
    </w:p>
    <w:p w:rsidR="00DC5911" w:rsidRPr="006760EA" w:rsidRDefault="00DC5911" w:rsidP="00DC5911">
      <w:pPr>
        <w:widowControl w:val="0"/>
        <w:jc w:val="both"/>
        <w:rPr>
          <w:rFonts w:asciiTheme="minorHAnsi" w:hAnsiTheme="minorHAnsi" w:cstheme="minorHAnsi"/>
          <w:sz w:val="22"/>
          <w:szCs w:val="22"/>
        </w:rPr>
      </w:pPr>
    </w:p>
    <w:p w:rsidR="00DC5911" w:rsidRPr="006760EA" w:rsidRDefault="00DC5911" w:rsidP="00DC5911">
      <w:pPr>
        <w:widowControl w:val="0"/>
        <w:jc w:val="both"/>
        <w:rPr>
          <w:rFonts w:asciiTheme="minorHAnsi" w:hAnsiTheme="minorHAnsi" w:cstheme="minorHAnsi"/>
          <w:sz w:val="22"/>
          <w:szCs w:val="22"/>
        </w:rPr>
      </w:pPr>
    </w:p>
    <w:p w:rsidR="00DC5911" w:rsidRPr="006760EA" w:rsidRDefault="00DC5911" w:rsidP="00DC5911">
      <w:pPr>
        <w:spacing w:line="360" w:lineRule="auto"/>
        <w:jc w:val="center"/>
        <w:rPr>
          <w:rFonts w:asciiTheme="minorHAnsi" w:hAnsiTheme="minorHAnsi" w:cstheme="minorHAnsi"/>
          <w:b/>
          <w:sz w:val="22"/>
          <w:szCs w:val="22"/>
        </w:rPr>
      </w:pPr>
      <w:r w:rsidRPr="006760EA">
        <w:rPr>
          <w:rFonts w:asciiTheme="minorHAnsi" w:hAnsiTheme="minorHAnsi" w:cstheme="minorHAnsi"/>
          <w:b/>
          <w:sz w:val="22"/>
          <w:szCs w:val="22"/>
        </w:rPr>
        <w:t>ΑΠΟΦΑΣΙΖΕΙ  ΟΜΟΦΩΝΑ</w:t>
      </w:r>
    </w:p>
    <w:p w:rsidR="00DC5911" w:rsidRPr="006760EA" w:rsidRDefault="00DC5911" w:rsidP="00DC5911">
      <w:pPr>
        <w:spacing w:line="360" w:lineRule="auto"/>
        <w:jc w:val="center"/>
        <w:rPr>
          <w:rFonts w:asciiTheme="minorHAnsi" w:hAnsiTheme="minorHAnsi" w:cstheme="minorHAnsi"/>
          <w:b/>
          <w:sz w:val="22"/>
          <w:szCs w:val="22"/>
        </w:rPr>
      </w:pPr>
    </w:p>
    <w:p w:rsidR="00DC5911" w:rsidRPr="006760EA" w:rsidRDefault="00DC5911" w:rsidP="00DC5911">
      <w:pPr>
        <w:spacing w:line="360" w:lineRule="auto"/>
        <w:jc w:val="both"/>
        <w:rPr>
          <w:rFonts w:asciiTheme="minorHAnsi" w:hAnsiTheme="minorHAnsi" w:cstheme="minorHAnsi"/>
          <w:sz w:val="22"/>
          <w:szCs w:val="22"/>
        </w:rPr>
      </w:pPr>
      <w:r w:rsidRPr="006760EA">
        <w:rPr>
          <w:rFonts w:asciiTheme="minorHAnsi" w:hAnsiTheme="minorHAnsi" w:cstheme="minorHAnsi"/>
          <w:b/>
          <w:sz w:val="22"/>
          <w:szCs w:val="22"/>
        </w:rPr>
        <w:t xml:space="preserve">    Υποβάλλει για έγκριση στο Δημοτικό Συμβούλιο την έκθεση εκτέλεσης του προϋπολογισμού του </w:t>
      </w:r>
      <w:r w:rsidR="00901567" w:rsidRPr="006760EA">
        <w:rPr>
          <w:rFonts w:asciiTheme="minorHAnsi" w:hAnsiTheme="minorHAnsi" w:cstheme="minorHAnsi"/>
          <w:b/>
          <w:sz w:val="22"/>
          <w:szCs w:val="22"/>
        </w:rPr>
        <w:t>Γ</w:t>
      </w:r>
      <w:r w:rsidRPr="006760EA">
        <w:rPr>
          <w:rFonts w:asciiTheme="minorHAnsi" w:hAnsiTheme="minorHAnsi" w:cstheme="minorHAnsi"/>
          <w:b/>
          <w:sz w:val="22"/>
          <w:szCs w:val="22"/>
        </w:rPr>
        <w:t>΄ τριμήνου</w:t>
      </w:r>
      <w:r w:rsidRPr="006760EA">
        <w:rPr>
          <w:rFonts w:asciiTheme="minorHAnsi" w:hAnsiTheme="minorHAnsi" w:cstheme="minorHAnsi"/>
          <w:sz w:val="22"/>
          <w:szCs w:val="22"/>
        </w:rPr>
        <w:t xml:space="preserve"> του έτους 2025, ως ακολούθως: </w:t>
      </w:r>
    </w:p>
    <w:p w:rsidR="00DC5911" w:rsidRPr="006760EA" w:rsidRDefault="00DC5911" w:rsidP="00DC5911">
      <w:pPr>
        <w:pStyle w:val="Web"/>
        <w:spacing w:line="360" w:lineRule="auto"/>
        <w:jc w:val="both"/>
        <w:rPr>
          <w:rFonts w:asciiTheme="minorHAnsi" w:hAnsiTheme="minorHAnsi" w:cstheme="minorHAnsi"/>
          <w:b/>
          <w:bCs/>
          <w:color w:val="000000"/>
          <w:sz w:val="22"/>
          <w:szCs w:val="22"/>
          <w:shd w:val="clear" w:color="auto" w:fill="FFFFFF"/>
        </w:rPr>
      </w:pPr>
      <w:r w:rsidRPr="006760EA">
        <w:rPr>
          <w:rFonts w:asciiTheme="minorHAnsi" w:hAnsiTheme="minorHAnsi" w:cstheme="minorHAnsi"/>
          <w:b/>
          <w:color w:val="000000"/>
          <w:sz w:val="22"/>
          <w:szCs w:val="22"/>
          <w:shd w:val="clear" w:color="auto" w:fill="FFFFFF"/>
        </w:rPr>
        <w:lastRenderedPageBreak/>
        <w:t>Α</w:t>
      </w:r>
      <w:r w:rsidRPr="006760EA">
        <w:rPr>
          <w:rFonts w:asciiTheme="minorHAnsi" w:hAnsiTheme="minorHAnsi" w:cstheme="minorHAnsi"/>
          <w:color w:val="000000"/>
          <w:sz w:val="22"/>
          <w:szCs w:val="22"/>
          <w:shd w:val="clear" w:color="auto" w:fill="FFFFFF"/>
        </w:rPr>
        <w:t xml:space="preserve">. Τα αποτελέσματα εκτέλεσης προϋπολογισμού εσόδων </w:t>
      </w:r>
      <w:r w:rsidR="00901567" w:rsidRPr="006760EA">
        <w:rPr>
          <w:rFonts w:asciiTheme="minorHAnsi" w:hAnsiTheme="minorHAnsi" w:cstheme="minorHAnsi"/>
          <w:color w:val="000000"/>
          <w:sz w:val="22"/>
          <w:szCs w:val="22"/>
          <w:shd w:val="clear" w:color="auto" w:fill="FFFFFF"/>
        </w:rPr>
        <w:t>Γ</w:t>
      </w:r>
      <w:r w:rsidRPr="006760EA">
        <w:rPr>
          <w:rFonts w:asciiTheme="minorHAnsi" w:hAnsiTheme="minorHAnsi" w:cstheme="minorHAnsi"/>
          <w:color w:val="000000"/>
          <w:sz w:val="22"/>
          <w:szCs w:val="22"/>
          <w:shd w:val="clear" w:color="auto" w:fill="FFFFFF"/>
        </w:rPr>
        <w:t>’ τριμήνου του έτους 2025, εμφανίζονται στον συνημμένο πίνακα 1.</w:t>
      </w:r>
    </w:p>
    <w:p w:rsidR="00BA305F" w:rsidRPr="006760EA" w:rsidRDefault="00DC5911" w:rsidP="00BA305F">
      <w:pPr>
        <w:pStyle w:val="Web"/>
        <w:spacing w:line="360" w:lineRule="auto"/>
        <w:jc w:val="both"/>
        <w:rPr>
          <w:rFonts w:asciiTheme="minorHAnsi" w:hAnsiTheme="minorHAnsi" w:cstheme="minorHAnsi"/>
          <w:color w:val="000000"/>
          <w:sz w:val="22"/>
          <w:szCs w:val="22"/>
          <w:shd w:val="clear" w:color="auto" w:fill="FFFFFF"/>
        </w:rPr>
      </w:pPr>
      <w:r w:rsidRPr="006760EA">
        <w:rPr>
          <w:rFonts w:asciiTheme="minorHAnsi" w:hAnsiTheme="minorHAnsi" w:cstheme="minorHAnsi"/>
          <w:b/>
          <w:bCs/>
          <w:color w:val="000000"/>
          <w:sz w:val="22"/>
          <w:szCs w:val="22"/>
          <w:shd w:val="clear" w:color="auto" w:fill="FFFFFF"/>
        </w:rPr>
        <w:t>Β</w:t>
      </w:r>
      <w:r w:rsidRPr="006760EA">
        <w:rPr>
          <w:rFonts w:asciiTheme="minorHAnsi" w:hAnsiTheme="minorHAnsi" w:cstheme="minorHAnsi"/>
          <w:color w:val="000000"/>
          <w:sz w:val="22"/>
          <w:szCs w:val="22"/>
          <w:shd w:val="clear" w:color="auto" w:fill="FFFFFF"/>
        </w:rPr>
        <w:t xml:space="preserve">. Τα αποτελέσματα εκτέλεσης προϋπολογισμού δαπανών </w:t>
      </w:r>
      <w:r w:rsidR="00901567" w:rsidRPr="006760EA">
        <w:rPr>
          <w:rFonts w:asciiTheme="minorHAnsi" w:hAnsiTheme="minorHAnsi" w:cstheme="minorHAnsi"/>
          <w:color w:val="000000"/>
          <w:sz w:val="22"/>
          <w:szCs w:val="22"/>
          <w:shd w:val="clear" w:color="auto" w:fill="FFFFFF"/>
        </w:rPr>
        <w:t>Γ</w:t>
      </w:r>
      <w:r w:rsidRPr="006760EA">
        <w:rPr>
          <w:rFonts w:asciiTheme="minorHAnsi" w:hAnsiTheme="minorHAnsi" w:cstheme="minorHAnsi"/>
          <w:color w:val="000000"/>
          <w:sz w:val="22"/>
          <w:szCs w:val="22"/>
          <w:shd w:val="clear" w:color="auto" w:fill="FFFFFF"/>
        </w:rPr>
        <w:t>’ τριμήνου του έτους 2025 εμφανίζονται στον συνημμένο πίνακα 2.</w:t>
      </w:r>
    </w:p>
    <w:p w:rsidR="00BA305F" w:rsidRPr="006760EA" w:rsidRDefault="00BA305F" w:rsidP="00BA305F">
      <w:pPr>
        <w:pStyle w:val="Web"/>
        <w:spacing w:line="360" w:lineRule="auto"/>
        <w:jc w:val="both"/>
        <w:rPr>
          <w:rFonts w:asciiTheme="minorHAnsi" w:hAnsiTheme="minorHAnsi" w:cstheme="minorHAnsi"/>
          <w:color w:val="000000"/>
          <w:sz w:val="22"/>
          <w:szCs w:val="22"/>
          <w:shd w:val="clear" w:color="auto" w:fill="FFFFFF"/>
        </w:rPr>
      </w:pPr>
      <w:r w:rsidRPr="006760EA">
        <w:rPr>
          <w:rFonts w:asciiTheme="minorHAnsi" w:hAnsiTheme="minorHAnsi" w:cstheme="minorHAnsi"/>
          <w:b/>
          <w:bCs/>
          <w:iCs/>
          <w:color w:val="000000" w:themeColor="text1"/>
          <w:sz w:val="22"/>
          <w:szCs w:val="22"/>
        </w:rPr>
        <w:t>Γ</w:t>
      </w:r>
      <w:r w:rsidR="002317CA">
        <w:rPr>
          <w:rFonts w:asciiTheme="minorHAnsi" w:hAnsiTheme="minorHAnsi" w:cstheme="minorHAnsi"/>
          <w:b/>
          <w:bCs/>
          <w:iCs/>
          <w:color w:val="000000" w:themeColor="text1"/>
          <w:sz w:val="22"/>
          <w:szCs w:val="22"/>
        </w:rPr>
        <w:t>.</w:t>
      </w:r>
      <w:r w:rsidR="00223B52">
        <w:rPr>
          <w:rFonts w:asciiTheme="minorHAnsi" w:hAnsiTheme="minorHAnsi" w:cstheme="minorHAnsi"/>
          <w:b/>
          <w:bCs/>
          <w:iCs/>
          <w:color w:val="000000" w:themeColor="text1"/>
          <w:sz w:val="22"/>
          <w:szCs w:val="22"/>
        </w:rPr>
        <w:t xml:space="preserve"> </w:t>
      </w:r>
      <w:proofErr w:type="spellStart"/>
      <w:r w:rsidRPr="006760EA">
        <w:rPr>
          <w:rFonts w:asciiTheme="minorHAnsi" w:hAnsiTheme="minorHAnsi" w:cstheme="minorHAnsi"/>
          <w:bCs/>
          <w:color w:val="000000" w:themeColor="text1"/>
          <w:sz w:val="22"/>
          <w:szCs w:val="22"/>
        </w:rPr>
        <w:t>Στοχοθεσία</w:t>
      </w:r>
      <w:proofErr w:type="spellEnd"/>
      <w:r w:rsidRPr="006760EA">
        <w:rPr>
          <w:rFonts w:asciiTheme="minorHAnsi" w:hAnsiTheme="minorHAnsi" w:cstheme="minorHAnsi"/>
          <w:bCs/>
          <w:color w:val="000000" w:themeColor="text1"/>
          <w:sz w:val="22"/>
          <w:szCs w:val="22"/>
        </w:rPr>
        <w:t xml:space="preserve"> οικονομικών</w:t>
      </w:r>
      <w:r w:rsidRPr="006760EA">
        <w:rPr>
          <w:rFonts w:asciiTheme="minorHAnsi" w:hAnsiTheme="minorHAnsi" w:cstheme="minorHAnsi"/>
          <w:b/>
          <w:bCs/>
          <w:color w:val="000000" w:themeColor="text1"/>
          <w:sz w:val="22"/>
          <w:szCs w:val="22"/>
        </w:rPr>
        <w:t xml:space="preserve"> </w:t>
      </w:r>
      <w:r w:rsidRPr="006760EA">
        <w:rPr>
          <w:rFonts w:asciiTheme="minorHAnsi" w:hAnsiTheme="minorHAnsi" w:cstheme="minorHAnsi"/>
          <w:bCs/>
          <w:color w:val="000000" w:themeColor="text1"/>
          <w:sz w:val="22"/>
          <w:szCs w:val="22"/>
        </w:rPr>
        <w:t xml:space="preserve">αποτελεσμάτων </w:t>
      </w:r>
      <w:r w:rsidR="00901567" w:rsidRPr="006760EA">
        <w:rPr>
          <w:rFonts w:asciiTheme="minorHAnsi" w:hAnsiTheme="minorHAnsi" w:cstheme="minorHAnsi"/>
          <w:bCs/>
          <w:color w:val="000000" w:themeColor="text1"/>
          <w:sz w:val="22"/>
          <w:szCs w:val="22"/>
        </w:rPr>
        <w:t>Γ</w:t>
      </w:r>
      <w:r w:rsidRPr="006760EA">
        <w:rPr>
          <w:rFonts w:asciiTheme="minorHAnsi" w:hAnsiTheme="minorHAnsi" w:cstheme="minorHAnsi"/>
          <w:bCs/>
          <w:color w:val="000000" w:themeColor="text1"/>
          <w:sz w:val="22"/>
          <w:szCs w:val="22"/>
        </w:rPr>
        <w:t>’ τριμήνου 2025   ως εμφανίζεται στον συνημμένο πίνακα 3.</w:t>
      </w:r>
    </w:p>
    <w:p w:rsidR="00DC5911" w:rsidRPr="006760EA" w:rsidRDefault="00FE43EA" w:rsidP="00DC5911">
      <w:pPr>
        <w:spacing w:before="240" w:after="240" w:line="360" w:lineRule="auto"/>
        <w:jc w:val="both"/>
        <w:rPr>
          <w:rFonts w:asciiTheme="minorHAnsi" w:hAnsiTheme="minorHAnsi" w:cstheme="minorHAnsi"/>
          <w:color w:val="000000"/>
          <w:sz w:val="22"/>
          <w:szCs w:val="22"/>
          <w:shd w:val="clear" w:color="auto" w:fill="FFFFFF"/>
        </w:rPr>
      </w:pPr>
      <w:r w:rsidRPr="006760EA">
        <w:rPr>
          <w:rFonts w:asciiTheme="minorHAnsi" w:hAnsiTheme="minorHAnsi" w:cstheme="minorHAnsi"/>
          <w:color w:val="000000"/>
          <w:sz w:val="22"/>
          <w:szCs w:val="22"/>
          <w:shd w:val="clear" w:color="auto" w:fill="FFFFFF"/>
        </w:rPr>
        <w:t>Ο</w:t>
      </w:r>
      <w:r w:rsidR="00DC5911" w:rsidRPr="006760EA">
        <w:rPr>
          <w:rFonts w:asciiTheme="minorHAnsi" w:hAnsiTheme="minorHAnsi" w:cstheme="minorHAnsi"/>
          <w:color w:val="000000"/>
          <w:sz w:val="22"/>
          <w:szCs w:val="22"/>
          <w:shd w:val="clear" w:color="auto" w:fill="FFFFFF"/>
        </w:rPr>
        <w:t>ι  κατωτέρω  πίνακες αποτελούν αναπόσπαστο μέρος της παρούσας.</w:t>
      </w:r>
    </w:p>
    <w:p w:rsidR="00DC5911" w:rsidRPr="006760EA" w:rsidRDefault="00DC5911" w:rsidP="00DC5911">
      <w:pPr>
        <w:jc w:val="both"/>
        <w:rPr>
          <w:rFonts w:asciiTheme="minorHAnsi" w:hAnsiTheme="minorHAnsi" w:cstheme="minorHAnsi"/>
          <w:b/>
          <w:sz w:val="22"/>
          <w:szCs w:val="22"/>
        </w:rPr>
      </w:pPr>
      <w:r w:rsidRPr="006760EA">
        <w:rPr>
          <w:rFonts w:asciiTheme="minorHAnsi" w:hAnsiTheme="minorHAnsi" w:cstheme="minorHAnsi"/>
          <w:iCs/>
          <w:sz w:val="22"/>
          <w:szCs w:val="22"/>
        </w:rPr>
        <w:t xml:space="preserve">    </w:t>
      </w:r>
      <w:r w:rsidRPr="006760EA">
        <w:rPr>
          <w:rFonts w:asciiTheme="minorHAnsi" w:hAnsiTheme="minorHAnsi" w:cstheme="minorHAnsi"/>
          <w:b/>
          <w:iCs/>
          <w:sz w:val="22"/>
          <w:szCs w:val="22"/>
        </w:rPr>
        <w:t>Η α</w:t>
      </w:r>
      <w:r w:rsidRPr="006760EA">
        <w:rPr>
          <w:rFonts w:asciiTheme="minorHAnsi" w:hAnsiTheme="minorHAnsi" w:cstheme="minorHAnsi"/>
          <w:b/>
          <w:sz w:val="22"/>
          <w:szCs w:val="22"/>
        </w:rPr>
        <w:t xml:space="preserve">πόφαση πήρε αριθμό </w:t>
      </w:r>
      <w:r w:rsidR="00901567" w:rsidRPr="006760EA">
        <w:rPr>
          <w:rFonts w:asciiTheme="minorHAnsi" w:hAnsiTheme="minorHAnsi" w:cstheme="minorHAnsi"/>
          <w:b/>
          <w:sz w:val="22"/>
          <w:szCs w:val="22"/>
        </w:rPr>
        <w:t>40</w:t>
      </w:r>
      <w:r w:rsidR="003213C6">
        <w:rPr>
          <w:rFonts w:asciiTheme="minorHAnsi" w:hAnsiTheme="minorHAnsi" w:cstheme="minorHAnsi"/>
          <w:b/>
          <w:sz w:val="22"/>
          <w:szCs w:val="22"/>
        </w:rPr>
        <w:t>5</w:t>
      </w:r>
      <w:r w:rsidRPr="006760EA">
        <w:rPr>
          <w:rFonts w:asciiTheme="minorHAnsi" w:hAnsiTheme="minorHAnsi" w:cstheme="minorHAnsi"/>
          <w:b/>
          <w:sz w:val="22"/>
          <w:szCs w:val="22"/>
        </w:rPr>
        <w:t>/2025.</w:t>
      </w:r>
    </w:p>
    <w:p w:rsidR="00DC5911" w:rsidRPr="006760EA" w:rsidRDefault="00DC5911" w:rsidP="00DC5911">
      <w:pPr>
        <w:jc w:val="both"/>
        <w:rPr>
          <w:rFonts w:asciiTheme="minorHAnsi" w:hAnsiTheme="minorHAnsi" w:cstheme="minorHAnsi"/>
          <w:b/>
          <w:sz w:val="22"/>
          <w:szCs w:val="22"/>
        </w:rPr>
      </w:pPr>
    </w:p>
    <w:p w:rsidR="00DC5911" w:rsidRPr="006760EA" w:rsidRDefault="00DC5911" w:rsidP="00DC5911">
      <w:pPr>
        <w:spacing w:line="360" w:lineRule="auto"/>
        <w:ind w:hanging="432"/>
        <w:rPr>
          <w:rFonts w:asciiTheme="minorHAnsi" w:hAnsiTheme="minorHAnsi" w:cstheme="minorHAnsi"/>
          <w:sz w:val="22"/>
          <w:szCs w:val="22"/>
        </w:rPr>
      </w:pPr>
      <w:r w:rsidRPr="006760EA">
        <w:rPr>
          <w:rFonts w:asciiTheme="minorHAnsi" w:eastAsia="Arial" w:hAnsiTheme="minorHAnsi" w:cstheme="minorHAnsi"/>
          <w:sz w:val="22"/>
          <w:szCs w:val="22"/>
        </w:rPr>
        <w:t xml:space="preserve">                </w:t>
      </w:r>
      <w:r w:rsidRPr="006760EA">
        <w:rPr>
          <w:rFonts w:asciiTheme="minorHAnsi" w:hAnsiTheme="minorHAnsi" w:cstheme="minorHAnsi"/>
          <w:sz w:val="22"/>
          <w:szCs w:val="22"/>
        </w:rPr>
        <w:t>Ο</w:t>
      </w:r>
      <w:r w:rsidRPr="006760EA">
        <w:rPr>
          <w:rFonts w:asciiTheme="minorHAnsi" w:hAnsiTheme="minorHAnsi" w:cstheme="minorHAnsi"/>
          <w:b/>
          <w:sz w:val="22"/>
          <w:szCs w:val="22"/>
        </w:rPr>
        <w:t xml:space="preserve"> </w:t>
      </w:r>
      <w:r w:rsidRPr="006760EA">
        <w:rPr>
          <w:rFonts w:asciiTheme="minorHAnsi" w:eastAsia="Verdana" w:hAnsiTheme="minorHAnsi" w:cstheme="minorHAnsi"/>
          <w:kern w:val="1"/>
          <w:sz w:val="22"/>
          <w:szCs w:val="22"/>
          <w:lang w:bidi="hi-IN"/>
        </w:rPr>
        <w:t xml:space="preserve"> </w:t>
      </w:r>
      <w:r w:rsidR="003E2A2C">
        <w:rPr>
          <w:rFonts w:asciiTheme="minorHAnsi" w:eastAsia="Verdana" w:hAnsiTheme="minorHAnsi" w:cstheme="minorHAnsi"/>
          <w:kern w:val="1"/>
          <w:sz w:val="22"/>
          <w:szCs w:val="22"/>
          <w:lang w:bidi="hi-IN"/>
        </w:rPr>
        <w:t xml:space="preserve"> ΑΝΤΙΠΡΟΕΔΡΟΣ</w:t>
      </w:r>
    </w:p>
    <w:p w:rsidR="00DC5911" w:rsidRPr="006760EA" w:rsidRDefault="00DC5911" w:rsidP="00DC5911">
      <w:pPr>
        <w:tabs>
          <w:tab w:val="left" w:pos="559"/>
          <w:tab w:val="left" w:pos="1555"/>
        </w:tabs>
        <w:rPr>
          <w:rFonts w:asciiTheme="minorHAnsi" w:hAnsiTheme="minorHAnsi" w:cstheme="minorHAnsi"/>
          <w:sz w:val="22"/>
          <w:szCs w:val="22"/>
        </w:rPr>
      </w:pPr>
      <w:r w:rsidRPr="006760EA">
        <w:rPr>
          <w:rFonts w:asciiTheme="minorHAnsi" w:hAnsiTheme="minorHAnsi" w:cstheme="minorHAnsi"/>
          <w:sz w:val="22"/>
          <w:szCs w:val="22"/>
        </w:rPr>
        <w:t xml:space="preserve">     </w:t>
      </w:r>
      <w:r w:rsidR="003E2A2C">
        <w:rPr>
          <w:rFonts w:asciiTheme="minorHAnsi" w:hAnsiTheme="minorHAnsi" w:cstheme="minorHAnsi"/>
          <w:sz w:val="22"/>
          <w:szCs w:val="22"/>
        </w:rPr>
        <w:t xml:space="preserve">ΜΙΧΑΣ  </w:t>
      </w:r>
      <w:r w:rsidRPr="006760EA">
        <w:rPr>
          <w:rFonts w:asciiTheme="minorHAnsi" w:hAnsiTheme="minorHAnsi" w:cstheme="minorHAnsi"/>
          <w:sz w:val="22"/>
          <w:szCs w:val="22"/>
        </w:rPr>
        <w:t xml:space="preserve">ΔΗΜΗΤΡΙΟΣ </w:t>
      </w:r>
    </w:p>
    <w:p w:rsidR="00DC5911" w:rsidRPr="006760EA" w:rsidRDefault="00DC5911" w:rsidP="00DC5911">
      <w:pPr>
        <w:tabs>
          <w:tab w:val="left" w:pos="559"/>
          <w:tab w:val="left" w:pos="1555"/>
        </w:tabs>
        <w:rPr>
          <w:rFonts w:asciiTheme="minorHAnsi" w:hAnsiTheme="minorHAnsi" w:cstheme="minorHAnsi"/>
          <w:sz w:val="22"/>
          <w:szCs w:val="22"/>
        </w:rPr>
      </w:pPr>
    </w:p>
    <w:p w:rsidR="00DC5911" w:rsidRPr="006760EA" w:rsidRDefault="00DC5911" w:rsidP="00DC5911">
      <w:pPr>
        <w:tabs>
          <w:tab w:val="center" w:pos="1080"/>
          <w:tab w:val="left" w:pos="6120"/>
          <w:tab w:val="center" w:pos="8460"/>
        </w:tabs>
        <w:jc w:val="both"/>
        <w:rPr>
          <w:rFonts w:asciiTheme="minorHAnsi" w:hAnsiTheme="minorHAnsi" w:cstheme="minorHAnsi"/>
          <w:sz w:val="22"/>
          <w:szCs w:val="22"/>
        </w:rPr>
      </w:pPr>
      <w:r w:rsidRPr="006760EA">
        <w:rPr>
          <w:rFonts w:asciiTheme="minorHAnsi" w:eastAsia="Arial" w:hAnsiTheme="minorHAnsi" w:cstheme="minorHAnsi"/>
          <w:sz w:val="22"/>
          <w:szCs w:val="22"/>
        </w:rPr>
        <w:t xml:space="preserve">                </w:t>
      </w:r>
      <w:r w:rsidRPr="006760EA">
        <w:rPr>
          <w:rFonts w:asciiTheme="minorHAnsi" w:hAnsiTheme="minorHAnsi" w:cstheme="minorHAnsi"/>
          <w:sz w:val="22"/>
          <w:szCs w:val="22"/>
        </w:rPr>
        <w:t xml:space="preserve">ΤΑ ΜΕΛΗ      </w:t>
      </w:r>
    </w:p>
    <w:p w:rsidR="00DC5911" w:rsidRPr="006760EA" w:rsidRDefault="00DC5911" w:rsidP="00DC5911">
      <w:pPr>
        <w:pStyle w:val="a8"/>
        <w:numPr>
          <w:ilvl w:val="0"/>
          <w:numId w:val="6"/>
        </w:numPr>
        <w:suppressAutoHyphens/>
        <w:rPr>
          <w:rFonts w:asciiTheme="minorHAnsi" w:hAnsiTheme="minorHAnsi" w:cstheme="minorHAnsi"/>
          <w:sz w:val="22"/>
          <w:szCs w:val="22"/>
        </w:rPr>
      </w:pPr>
      <w:proofErr w:type="spellStart"/>
      <w:r w:rsidRPr="006760EA">
        <w:rPr>
          <w:rFonts w:asciiTheme="minorHAnsi" w:hAnsiTheme="minorHAnsi" w:cstheme="minorHAnsi"/>
          <w:sz w:val="22"/>
          <w:szCs w:val="22"/>
        </w:rPr>
        <w:t>Τουμαράς</w:t>
      </w:r>
      <w:proofErr w:type="spellEnd"/>
      <w:r w:rsidRPr="006760EA">
        <w:rPr>
          <w:rFonts w:asciiTheme="minorHAnsi" w:hAnsiTheme="minorHAnsi" w:cstheme="minorHAnsi"/>
          <w:sz w:val="22"/>
          <w:szCs w:val="22"/>
        </w:rPr>
        <w:t xml:space="preserve"> Βασίλειος</w:t>
      </w:r>
    </w:p>
    <w:p w:rsidR="00DC5911" w:rsidRPr="006760EA" w:rsidRDefault="00DC5911" w:rsidP="00DC5911">
      <w:pPr>
        <w:pStyle w:val="a8"/>
        <w:numPr>
          <w:ilvl w:val="0"/>
          <w:numId w:val="6"/>
        </w:numPr>
        <w:suppressAutoHyphens/>
        <w:rPr>
          <w:rFonts w:asciiTheme="minorHAnsi" w:hAnsiTheme="minorHAnsi" w:cstheme="minorHAnsi"/>
          <w:sz w:val="22"/>
          <w:szCs w:val="22"/>
        </w:rPr>
      </w:pPr>
      <w:proofErr w:type="spellStart"/>
      <w:r w:rsidRPr="006760EA">
        <w:rPr>
          <w:rFonts w:asciiTheme="minorHAnsi" w:hAnsiTheme="minorHAnsi" w:cstheme="minorHAnsi"/>
          <w:sz w:val="22"/>
          <w:szCs w:val="22"/>
        </w:rPr>
        <w:t>Αγνιάδης</w:t>
      </w:r>
      <w:proofErr w:type="spellEnd"/>
      <w:r w:rsidRPr="006760EA">
        <w:rPr>
          <w:rFonts w:asciiTheme="minorHAnsi" w:hAnsiTheme="minorHAnsi" w:cstheme="minorHAnsi"/>
          <w:sz w:val="22"/>
          <w:szCs w:val="22"/>
        </w:rPr>
        <w:t xml:space="preserve">  Παναγιώτης</w:t>
      </w:r>
    </w:p>
    <w:p w:rsidR="00DC5911" w:rsidRPr="006760EA" w:rsidRDefault="00DC5911" w:rsidP="00DC5911">
      <w:pPr>
        <w:pStyle w:val="a8"/>
        <w:numPr>
          <w:ilvl w:val="0"/>
          <w:numId w:val="6"/>
        </w:numPr>
        <w:suppressAutoHyphens/>
        <w:rPr>
          <w:rFonts w:asciiTheme="minorHAnsi" w:hAnsiTheme="minorHAnsi" w:cstheme="minorHAnsi"/>
          <w:sz w:val="22"/>
          <w:szCs w:val="22"/>
        </w:rPr>
      </w:pPr>
      <w:proofErr w:type="spellStart"/>
      <w:r w:rsidRPr="006760EA">
        <w:rPr>
          <w:rFonts w:asciiTheme="minorHAnsi" w:hAnsiTheme="minorHAnsi" w:cstheme="minorHAnsi"/>
          <w:sz w:val="22"/>
          <w:szCs w:val="22"/>
        </w:rPr>
        <w:t>Καλλιαντάσης</w:t>
      </w:r>
      <w:proofErr w:type="spellEnd"/>
      <w:r w:rsidRPr="006760EA">
        <w:rPr>
          <w:rFonts w:asciiTheme="minorHAnsi" w:hAnsiTheme="minorHAnsi" w:cstheme="minorHAnsi"/>
          <w:sz w:val="22"/>
          <w:szCs w:val="22"/>
        </w:rPr>
        <w:t xml:space="preserve"> Χρήστος</w:t>
      </w:r>
    </w:p>
    <w:p w:rsidR="00DC5911" w:rsidRPr="006760EA" w:rsidRDefault="00DC5911" w:rsidP="00DC5911">
      <w:pPr>
        <w:pStyle w:val="a8"/>
        <w:numPr>
          <w:ilvl w:val="0"/>
          <w:numId w:val="6"/>
        </w:numPr>
        <w:suppressAutoHyphens/>
        <w:rPr>
          <w:rFonts w:asciiTheme="minorHAnsi" w:hAnsiTheme="minorHAnsi" w:cstheme="minorHAnsi"/>
          <w:sz w:val="22"/>
          <w:szCs w:val="22"/>
        </w:rPr>
      </w:pPr>
      <w:r w:rsidRPr="006760EA">
        <w:rPr>
          <w:rFonts w:asciiTheme="minorHAnsi" w:hAnsiTheme="minorHAnsi" w:cstheme="minorHAnsi"/>
          <w:sz w:val="22"/>
          <w:szCs w:val="22"/>
        </w:rPr>
        <w:t>Παπαβασιλείου Αικατερίνη</w:t>
      </w:r>
    </w:p>
    <w:p w:rsidR="00DC5911" w:rsidRPr="006760EA" w:rsidRDefault="00DC5911" w:rsidP="00DC5911">
      <w:pPr>
        <w:tabs>
          <w:tab w:val="left" w:pos="6237"/>
        </w:tabs>
        <w:rPr>
          <w:rFonts w:asciiTheme="minorHAnsi" w:eastAsia="Arial" w:hAnsiTheme="minorHAnsi" w:cstheme="minorHAnsi"/>
          <w:sz w:val="22"/>
          <w:szCs w:val="22"/>
        </w:rPr>
      </w:pPr>
    </w:p>
    <w:p w:rsidR="00DC5911" w:rsidRPr="006760EA" w:rsidRDefault="00DC5911" w:rsidP="00DC5911">
      <w:pPr>
        <w:tabs>
          <w:tab w:val="left" w:pos="6237"/>
        </w:tabs>
        <w:rPr>
          <w:rFonts w:asciiTheme="minorHAnsi" w:hAnsiTheme="minorHAnsi" w:cstheme="minorHAnsi"/>
          <w:sz w:val="22"/>
          <w:szCs w:val="22"/>
        </w:rPr>
      </w:pPr>
      <w:r w:rsidRPr="006760EA">
        <w:rPr>
          <w:rFonts w:asciiTheme="minorHAnsi" w:eastAsia="Arial" w:hAnsiTheme="minorHAnsi" w:cstheme="minorHAnsi"/>
          <w:sz w:val="22"/>
          <w:szCs w:val="22"/>
        </w:rPr>
        <w:t xml:space="preserve">                                                                                                    ΠΙΣΤΟ</w:t>
      </w:r>
      <w:r w:rsidRPr="006760EA">
        <w:rPr>
          <w:rFonts w:asciiTheme="minorHAnsi" w:hAnsiTheme="minorHAnsi" w:cstheme="minorHAnsi"/>
          <w:sz w:val="22"/>
          <w:szCs w:val="22"/>
        </w:rPr>
        <w:t xml:space="preserve"> ΑΠΟΣΠΑΣΜΑ      </w:t>
      </w:r>
    </w:p>
    <w:p w:rsidR="00DC5911" w:rsidRPr="006760EA" w:rsidRDefault="00DC5911" w:rsidP="00DC5911">
      <w:pPr>
        <w:tabs>
          <w:tab w:val="left" w:pos="6237"/>
        </w:tabs>
        <w:ind w:left="360"/>
        <w:rPr>
          <w:rFonts w:asciiTheme="minorHAnsi" w:hAnsiTheme="minorHAnsi" w:cstheme="minorHAnsi"/>
          <w:sz w:val="22"/>
          <w:szCs w:val="22"/>
        </w:rPr>
      </w:pPr>
      <w:r w:rsidRPr="006760EA">
        <w:rPr>
          <w:rFonts w:asciiTheme="minorHAnsi" w:hAnsiTheme="minorHAnsi" w:cstheme="minorHAnsi"/>
          <w:sz w:val="22"/>
          <w:szCs w:val="22"/>
        </w:rPr>
        <w:t xml:space="preserve">                                                                                           Λιβαδειά    1</w:t>
      </w:r>
      <w:r w:rsidR="00901567" w:rsidRPr="006760EA">
        <w:rPr>
          <w:rFonts w:asciiTheme="minorHAnsi" w:hAnsiTheme="minorHAnsi" w:cstheme="minorHAnsi"/>
          <w:sz w:val="22"/>
          <w:szCs w:val="22"/>
        </w:rPr>
        <w:t>1</w:t>
      </w:r>
      <w:r w:rsidRPr="006760EA">
        <w:rPr>
          <w:rFonts w:asciiTheme="minorHAnsi" w:hAnsiTheme="minorHAnsi" w:cstheme="minorHAnsi"/>
          <w:sz w:val="22"/>
          <w:szCs w:val="22"/>
        </w:rPr>
        <w:t xml:space="preserve"> -</w:t>
      </w:r>
      <w:r w:rsidR="00901567" w:rsidRPr="006760EA">
        <w:rPr>
          <w:rFonts w:asciiTheme="minorHAnsi" w:hAnsiTheme="minorHAnsi" w:cstheme="minorHAnsi"/>
          <w:sz w:val="22"/>
          <w:szCs w:val="22"/>
        </w:rPr>
        <w:t>11</w:t>
      </w:r>
      <w:r w:rsidRPr="006760EA">
        <w:rPr>
          <w:rFonts w:asciiTheme="minorHAnsi" w:hAnsiTheme="minorHAnsi" w:cstheme="minorHAnsi"/>
          <w:sz w:val="22"/>
          <w:szCs w:val="22"/>
        </w:rPr>
        <w:t>-2025</w:t>
      </w:r>
    </w:p>
    <w:p w:rsidR="00DC5911" w:rsidRPr="006760EA" w:rsidRDefault="00DC5911" w:rsidP="00DC5911">
      <w:pPr>
        <w:tabs>
          <w:tab w:val="left" w:pos="6237"/>
        </w:tabs>
        <w:ind w:left="360"/>
        <w:rPr>
          <w:rFonts w:asciiTheme="minorHAnsi" w:eastAsia="Arial" w:hAnsiTheme="minorHAnsi" w:cstheme="minorHAnsi"/>
          <w:sz w:val="22"/>
          <w:szCs w:val="22"/>
        </w:rPr>
      </w:pPr>
      <w:r w:rsidRPr="006760EA">
        <w:rPr>
          <w:rFonts w:asciiTheme="minorHAnsi" w:hAnsiTheme="minorHAnsi" w:cstheme="minorHAnsi"/>
          <w:sz w:val="22"/>
          <w:szCs w:val="22"/>
        </w:rPr>
        <w:t xml:space="preserve">            </w:t>
      </w:r>
      <w:r w:rsidRPr="006760EA">
        <w:rPr>
          <w:rFonts w:asciiTheme="minorHAnsi" w:eastAsia="Arial" w:hAnsiTheme="minorHAnsi" w:cstheme="minorHAnsi"/>
          <w:sz w:val="22"/>
          <w:szCs w:val="22"/>
        </w:rPr>
        <w:t xml:space="preserve">                                                                                 Ο ΠΡΟΕΔΡΟΣ</w:t>
      </w:r>
    </w:p>
    <w:p w:rsidR="00DC5911" w:rsidRPr="006760EA" w:rsidRDefault="00DC5911" w:rsidP="00DC5911">
      <w:pPr>
        <w:tabs>
          <w:tab w:val="left" w:pos="6237"/>
        </w:tabs>
        <w:ind w:left="360"/>
        <w:rPr>
          <w:rFonts w:asciiTheme="minorHAnsi" w:hAnsiTheme="minorHAnsi" w:cstheme="minorHAnsi"/>
          <w:sz w:val="22"/>
          <w:szCs w:val="22"/>
        </w:rPr>
      </w:pPr>
      <w:r w:rsidRPr="006760EA">
        <w:rPr>
          <w:rFonts w:asciiTheme="minorHAnsi" w:eastAsia="Arial" w:hAnsiTheme="minorHAnsi" w:cstheme="minorHAnsi"/>
          <w:sz w:val="22"/>
          <w:szCs w:val="22"/>
        </w:rPr>
        <w:t xml:space="preserve">                                                                                   </w:t>
      </w:r>
    </w:p>
    <w:p w:rsidR="00DC5911" w:rsidRPr="006760EA" w:rsidRDefault="00DC5911" w:rsidP="00DC5911">
      <w:pPr>
        <w:tabs>
          <w:tab w:val="left" w:pos="559"/>
          <w:tab w:val="left" w:pos="1555"/>
        </w:tabs>
        <w:rPr>
          <w:rFonts w:asciiTheme="minorHAnsi" w:hAnsiTheme="minorHAnsi" w:cstheme="minorHAnsi"/>
          <w:sz w:val="22"/>
          <w:szCs w:val="22"/>
        </w:rPr>
      </w:pPr>
      <w:r w:rsidRPr="006760EA">
        <w:rPr>
          <w:rFonts w:asciiTheme="minorHAnsi" w:eastAsia="Arial" w:hAnsiTheme="minorHAnsi" w:cstheme="minorHAnsi"/>
          <w:sz w:val="22"/>
          <w:szCs w:val="22"/>
        </w:rPr>
        <w:t xml:space="preserve">                                                                                              </w:t>
      </w:r>
      <w:r w:rsidRPr="006760EA">
        <w:rPr>
          <w:rFonts w:asciiTheme="minorHAnsi" w:hAnsiTheme="minorHAnsi" w:cstheme="minorHAnsi"/>
          <w:sz w:val="22"/>
          <w:szCs w:val="22"/>
        </w:rPr>
        <w:t>ΔΗΜΗΤΡΙΟΣ Κ. ΚΑΡΑΜΑΝΗΣ</w:t>
      </w:r>
    </w:p>
    <w:p w:rsidR="00DC5911" w:rsidRPr="006760EA" w:rsidRDefault="00DC5911" w:rsidP="00DC73FA">
      <w:pPr>
        <w:tabs>
          <w:tab w:val="left" w:pos="6237"/>
        </w:tabs>
        <w:ind w:left="360"/>
        <w:rPr>
          <w:rFonts w:asciiTheme="minorHAnsi" w:hAnsiTheme="minorHAnsi" w:cstheme="minorHAnsi"/>
          <w:sz w:val="24"/>
          <w:szCs w:val="24"/>
        </w:rPr>
      </w:pPr>
      <w:r w:rsidRPr="006760EA">
        <w:rPr>
          <w:rFonts w:asciiTheme="minorHAnsi" w:hAnsiTheme="minorHAnsi" w:cstheme="minorHAnsi"/>
          <w:sz w:val="22"/>
          <w:szCs w:val="22"/>
        </w:rPr>
        <w:t xml:space="preserve">                                                                                         ΔΗΜΑΡΧΟΣ ΛΕΒΑΔΕΩΝ</w:t>
      </w:r>
      <w:r w:rsidRPr="006760EA">
        <w:rPr>
          <w:rFonts w:asciiTheme="minorHAnsi" w:eastAsia="Arial" w:hAnsiTheme="minorHAnsi" w:cstheme="minorHAnsi"/>
          <w:sz w:val="22"/>
          <w:szCs w:val="22"/>
        </w:rPr>
        <w:t xml:space="preserve">                                                                                         </w:t>
      </w:r>
      <w:r w:rsidRPr="006760EA">
        <w:rPr>
          <w:rFonts w:asciiTheme="minorHAnsi" w:hAnsiTheme="minorHAnsi" w:cstheme="minorHAnsi"/>
          <w:sz w:val="24"/>
        </w:rPr>
        <w:tab/>
      </w:r>
      <w:r w:rsidRPr="006760EA">
        <w:rPr>
          <w:rFonts w:asciiTheme="minorHAnsi" w:hAnsiTheme="minorHAnsi" w:cstheme="minorHAnsi"/>
          <w:sz w:val="24"/>
        </w:rPr>
        <w:tab/>
      </w:r>
      <w:r w:rsidRPr="006760EA">
        <w:rPr>
          <w:rFonts w:asciiTheme="minorHAnsi" w:hAnsiTheme="minorHAnsi" w:cstheme="minorHAnsi"/>
          <w:sz w:val="24"/>
          <w:szCs w:val="24"/>
        </w:rPr>
        <w:t xml:space="preserve"> </w:t>
      </w:r>
    </w:p>
    <w:sectPr w:rsidR="00DC5911" w:rsidRPr="006760EA" w:rsidSect="00A45709">
      <w:footerReference w:type="default" r:id="rId9"/>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89" w:rsidRDefault="00A51489">
      <w:r>
        <w:separator/>
      </w:r>
    </w:p>
  </w:endnote>
  <w:endnote w:type="continuationSeparator" w:id="0">
    <w:p w:rsidR="00A51489" w:rsidRDefault="00A51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EA" w:rsidRDefault="009314D8">
    <w:pPr>
      <w:pStyle w:val="a3"/>
      <w:jc w:val="center"/>
    </w:pPr>
    <w:fldSimple w:instr=" PAGE   \* MERGEFORMAT ">
      <w:r w:rsidR="002317CA">
        <w:rPr>
          <w:noProof/>
        </w:rPr>
        <w:t>5</w:t>
      </w:r>
    </w:fldSimple>
  </w:p>
  <w:p w:rsidR="006760EA" w:rsidRDefault="006760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9314D8">
    <w:pPr>
      <w:pStyle w:val="a3"/>
      <w:jc w:val="center"/>
    </w:pPr>
    <w:fldSimple w:instr=" PAGE   \* MERGEFORMAT ">
      <w:r w:rsidR="00223B52">
        <w:rPr>
          <w:noProof/>
        </w:rPr>
        <w:t>18</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89" w:rsidRDefault="00A51489">
      <w:r>
        <w:separator/>
      </w:r>
    </w:p>
  </w:footnote>
  <w:footnote w:type="continuationSeparator" w:id="0">
    <w:p w:rsidR="00A51489" w:rsidRDefault="00A51489">
      <w:r>
        <w:continuationSeparator/>
      </w:r>
    </w:p>
  </w:footnote>
  <w:footnote w:id="1">
    <w:p w:rsidR="006760EA" w:rsidRPr="00D74233" w:rsidRDefault="006760EA" w:rsidP="006760EA">
      <w:pPr>
        <w:pStyle w:val="a6"/>
        <w:jc w:val="both"/>
        <w:rPr>
          <w:sz w:val="18"/>
          <w:szCs w:val="18"/>
        </w:rPr>
      </w:pPr>
    </w:p>
  </w:footnote>
  <w:footnote w:id="2">
    <w:p w:rsidR="006760EA" w:rsidRPr="0020337A" w:rsidRDefault="006760EA" w:rsidP="006760EA">
      <w:pPr>
        <w:pStyle w:val="a6"/>
        <w:rPr>
          <w:sz w:val="18"/>
          <w:szCs w:val="18"/>
        </w:rPr>
      </w:pPr>
      <w:r w:rsidRPr="007A08C4">
        <w:rPr>
          <w:rStyle w:val="a7"/>
          <w:b/>
          <w:bCs/>
        </w:rPr>
        <w:footnoteRef/>
      </w:r>
      <w:r>
        <w:t xml:space="preserve"> </w:t>
      </w:r>
      <w:r w:rsidRPr="0020337A">
        <w:rPr>
          <w:sz w:val="18"/>
          <w:szCs w:val="18"/>
        </w:rPr>
        <w:t xml:space="preserve">Στα </w:t>
      </w:r>
      <w:proofErr w:type="spellStart"/>
      <w:r w:rsidRPr="0020337A">
        <w:rPr>
          <w:sz w:val="18"/>
          <w:szCs w:val="18"/>
        </w:rPr>
        <w:t>Ιδια</w:t>
      </w:r>
      <w:proofErr w:type="spellEnd"/>
      <w:r w:rsidRPr="0020337A">
        <w:rPr>
          <w:sz w:val="18"/>
          <w:szCs w:val="18"/>
        </w:rPr>
        <w:t xml:space="preserve"> </w:t>
      </w:r>
      <w:proofErr w:type="spellStart"/>
      <w:r w:rsidRPr="0020337A">
        <w:rPr>
          <w:sz w:val="18"/>
          <w:szCs w:val="18"/>
        </w:rPr>
        <w:t>Εσοδα</w:t>
      </w:r>
      <w:proofErr w:type="spellEnd"/>
      <w:r w:rsidRPr="0020337A">
        <w:rPr>
          <w:sz w:val="18"/>
          <w:szCs w:val="18"/>
        </w:rPr>
        <w:t xml:space="preserve"> περιλαμβάνονται και τα έσοδα από </w:t>
      </w:r>
      <w:proofErr w:type="spellStart"/>
      <w:r w:rsidRPr="0020337A">
        <w:rPr>
          <w:sz w:val="18"/>
          <w:szCs w:val="18"/>
        </w:rPr>
        <w:t>ανταποδοτικα</w:t>
      </w:r>
      <w:proofErr w:type="spellEnd"/>
      <w:r w:rsidRPr="0020337A">
        <w:rPr>
          <w:sz w:val="18"/>
          <w:szCs w:val="18"/>
        </w:rPr>
        <w:t xml:space="preserve"> τέλη καθαριότητας και άρδευσης</w:t>
      </w:r>
    </w:p>
  </w:footnote>
  <w:footnote w:id="3">
    <w:p w:rsidR="006760EA" w:rsidRPr="00E228D3" w:rsidRDefault="006760EA" w:rsidP="006760EA">
      <w:pPr>
        <w:pStyle w:val="a6"/>
        <w:jc w:val="both"/>
        <w:rPr>
          <w:sz w:val="18"/>
          <w:szCs w:val="18"/>
        </w:rPr>
      </w:pPr>
      <w:r w:rsidRPr="00912E8B">
        <w:rPr>
          <w:rStyle w:val="a7"/>
          <w:b/>
          <w:bCs/>
          <w:sz w:val="22"/>
          <w:szCs w:val="22"/>
        </w:rPr>
        <w:footnoteRef/>
      </w:r>
      <w:r w:rsidRPr="00912E8B">
        <w:rPr>
          <w:b/>
          <w:bCs/>
          <w:sz w:val="22"/>
          <w:szCs w:val="22"/>
        </w:rPr>
        <w:t xml:space="preserve"> </w:t>
      </w:r>
      <w:r w:rsidRPr="00912E8B">
        <w:rPr>
          <w:sz w:val="18"/>
          <w:szCs w:val="18"/>
        </w:rPr>
        <w:t>Μέχρι 30/9/2025</w:t>
      </w:r>
      <w:r>
        <w:rPr>
          <w:b/>
          <w:bCs/>
          <w:sz w:val="18"/>
          <w:szCs w:val="18"/>
        </w:rPr>
        <w:t xml:space="preserve">  </w:t>
      </w:r>
      <w:r>
        <w:rPr>
          <w:sz w:val="18"/>
          <w:szCs w:val="18"/>
        </w:rPr>
        <w:t xml:space="preserve">εισπράχθηκε επιπλέον ποσό </w:t>
      </w:r>
      <w:r w:rsidRPr="00E228D3">
        <w:rPr>
          <w:b/>
          <w:bCs/>
          <w:sz w:val="18"/>
          <w:szCs w:val="18"/>
        </w:rPr>
        <w:t>204.810,24€</w:t>
      </w:r>
      <w:r>
        <w:rPr>
          <w:sz w:val="18"/>
          <w:szCs w:val="18"/>
        </w:rPr>
        <w:t xml:space="preserve"> για τους Παιδικούς Σταθμούς, μέσω του προγράμματος «Εναρμόνιση οικογενειακής ζωής», που αφορά έσοδο του 2024 και βεβαιώθηκε για πρώτη φορά το 2025, που εγγράφηκε στον Κ.Α. 2212.002.</w:t>
      </w:r>
    </w:p>
  </w:footnote>
  <w:footnote w:id="4">
    <w:p w:rsidR="006760EA" w:rsidRPr="0020337A" w:rsidRDefault="006760EA" w:rsidP="006760EA">
      <w:pPr>
        <w:pStyle w:val="a6"/>
        <w:jc w:val="both"/>
        <w:rPr>
          <w:sz w:val="18"/>
          <w:szCs w:val="18"/>
        </w:rPr>
      </w:pPr>
    </w:p>
    <w:p w:rsidR="006760EA" w:rsidRPr="007B08DB" w:rsidRDefault="006760EA" w:rsidP="006760EA">
      <w:pPr>
        <w:pStyle w:val="a6"/>
        <w:rPr>
          <w:b/>
          <w:bCs/>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stylePaneFormatFilter w:val="3F01"/>
  <w:defaultTabStop w:val="708"/>
  <w:hyphenationZone w:val="425"/>
  <w:characterSpacingControl w:val="doNotCompress"/>
  <w:hdrShapeDefaults>
    <o:shapedefaults v:ext="edit" spidmax="88066"/>
  </w:hdrShapeDefaults>
  <w:footnotePr>
    <w:footnote w:id="-1"/>
    <w:footnote w:id="0"/>
  </w:footnotePr>
  <w:endnotePr>
    <w:endnote w:id="-1"/>
    <w:endnote w:id="0"/>
  </w:endnotePr>
  <w:compat/>
  <w:rsids>
    <w:rsidRoot w:val="00AD2A26"/>
    <w:rsid w:val="00000177"/>
    <w:rsid w:val="00000D65"/>
    <w:rsid w:val="00001ED5"/>
    <w:rsid w:val="0000261C"/>
    <w:rsid w:val="000040DD"/>
    <w:rsid w:val="00004FB2"/>
    <w:rsid w:val="000053E3"/>
    <w:rsid w:val="00007226"/>
    <w:rsid w:val="00007E13"/>
    <w:rsid w:val="0001025B"/>
    <w:rsid w:val="00010630"/>
    <w:rsid w:val="00013047"/>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5F13"/>
    <w:rsid w:val="0007190F"/>
    <w:rsid w:val="00072D22"/>
    <w:rsid w:val="000733BE"/>
    <w:rsid w:val="0007515F"/>
    <w:rsid w:val="000800F8"/>
    <w:rsid w:val="00080B1E"/>
    <w:rsid w:val="00080DFA"/>
    <w:rsid w:val="0008181F"/>
    <w:rsid w:val="00083265"/>
    <w:rsid w:val="00084313"/>
    <w:rsid w:val="00084B76"/>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1A97"/>
    <w:rsid w:val="001B0ACB"/>
    <w:rsid w:val="001B1A92"/>
    <w:rsid w:val="001B4CC7"/>
    <w:rsid w:val="001B5833"/>
    <w:rsid w:val="001B7A25"/>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3B52"/>
    <w:rsid w:val="00225AC2"/>
    <w:rsid w:val="00226A3A"/>
    <w:rsid w:val="002317C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3C6"/>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2A2C"/>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70"/>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84"/>
    <w:rsid w:val="006760EA"/>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4406"/>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1190"/>
    <w:rsid w:val="007630D8"/>
    <w:rsid w:val="007645C6"/>
    <w:rsid w:val="0077031B"/>
    <w:rsid w:val="0077131B"/>
    <w:rsid w:val="00771ACF"/>
    <w:rsid w:val="007726E8"/>
    <w:rsid w:val="0077373F"/>
    <w:rsid w:val="0077379B"/>
    <w:rsid w:val="007741D4"/>
    <w:rsid w:val="0077565C"/>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1B24"/>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271E2"/>
    <w:rsid w:val="0093039A"/>
    <w:rsid w:val="0093041C"/>
    <w:rsid w:val="009314D8"/>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2F94"/>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1489"/>
    <w:rsid w:val="00A532C4"/>
    <w:rsid w:val="00A56E7B"/>
    <w:rsid w:val="00A56F3D"/>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9758B"/>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4FE"/>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D91"/>
    <w:rsid w:val="00D47BF3"/>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3C0"/>
    <w:rsid w:val="00E22BD2"/>
    <w:rsid w:val="00E254BC"/>
    <w:rsid w:val="00E274F1"/>
    <w:rsid w:val="00E307D9"/>
    <w:rsid w:val="00E30CA0"/>
    <w:rsid w:val="00E31E4A"/>
    <w:rsid w:val="00E347BB"/>
    <w:rsid w:val="00E37EC4"/>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3F2E"/>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6FC6"/>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34"/>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34"/>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34A116B-EA9B-4BB2-BAB5-B4082495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5364</Words>
  <Characters>28966</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34262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16</cp:revision>
  <cp:lastPrinted>2025-11-11T06:44:00Z</cp:lastPrinted>
  <dcterms:created xsi:type="dcterms:W3CDTF">2025-11-07T06:29:00Z</dcterms:created>
  <dcterms:modified xsi:type="dcterms:W3CDTF">2025-11-11T06:46:00Z</dcterms:modified>
</cp:coreProperties>
</file>