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0B5759" w:rsidRPr="000B575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25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F54F3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0B575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 </w:t>
      </w:r>
      <w:r w:rsidR="0059369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7776</w:t>
      </w:r>
      <w:r w:rsidR="0084156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54F36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DB0AAF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DB0AAF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DB0AAF" w:rsidRDefault="00CB39A9" w:rsidP="000B575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Default="00CB39A9" w:rsidP="000B575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54F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και με τηλεδιάσκεψη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DB0AAF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717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F54F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DB0AAF" w:rsidRDefault="000B5759" w:rsidP="000B575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Default="000B5759" w:rsidP="000B575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ορίζεται προθεσμία ενημέρωσης του Προέδρου του Δημοτικού Συμβουλίου αναφορικά με τον τρόπο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συμμετοχής σε αυτή του κάθε δημοτικού συμβούλου  , δηλαδή είτε διά ζώσης, είτε μέσω τηλεδιάσκεψης μέχρι την </w:t>
            </w:r>
            <w:r w:rsidRPr="0025575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="00DE64E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ΤΕΤΑΡΤΗ  3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0-</w:t>
            </w:r>
            <w:r w:rsidR="00DE64E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-2025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0B5759" w:rsidRPr="00DB0AAF" w:rsidRDefault="000B5759" w:rsidP="000B575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B0AAF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DB0AAF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DB0AAF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DB0AAF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F54F36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005EDC" w:rsidRPr="00F54F36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B5759" w:rsidRDefault="00DF7F54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>. ΘΕΜΑΤΑ   Δ/ΝΣΗΣ</w:t>
                  </w:r>
                  <w:r w:rsidR="000B5759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 xml:space="preserve"> </w:t>
                  </w:r>
                  <w:r w:rsidR="000B5759"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ΟΙΚΟΝΟΜΙΚΩΝ ΥΠΗΡΕΣΙΩΝ</w:t>
                  </w:r>
                </w:p>
                <w:p w:rsidR="00245D48" w:rsidRPr="00245D48" w:rsidRDefault="00DF7F54" w:rsidP="00245D4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3" w:firstLine="0"/>
                    <w:jc w:val="left"/>
                    <w:textAlignment w:val="baseline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D1028D">
                    <w:rPr>
                      <w:rStyle w:val="FontStyle17"/>
                      <w:rFonts w:asciiTheme="minorHAnsi" w:eastAsia="Calibri" w:hAnsiTheme="minorHAnsi" w:cstheme="minorHAnsi"/>
                      <w:bCs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</w:p>
                <w:p w:rsidR="000B5759" w:rsidRPr="00731B19" w:rsidRDefault="00431CE0" w:rsidP="00DE64E9">
                  <w:pPr>
                    <w:pStyle w:val="9"/>
                    <w:numPr>
                      <w:ilvl w:val="0"/>
                      <w:numId w:val="8"/>
                    </w:numPr>
                    <w:tabs>
                      <w:tab w:val="left" w:pos="975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474CC"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Λήψη  Απόφασης περί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B5759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</w:rPr>
                    <w:t>«</w:t>
                  </w:r>
                  <w:r w:rsidR="00376CCA" w:rsidRPr="000B5759">
                    <w:rPr>
                      <w:rFonts w:asciiTheme="minorHAnsi" w:hAnsiTheme="minorHAnsi" w:cstheme="minorHAnsi"/>
                      <w:b/>
                      <w:i w:val="0"/>
                      <w:color w:val="auto"/>
                      <w:sz w:val="22"/>
                      <w:szCs w:val="22"/>
                    </w:rPr>
                    <w:t>Έγκρισης</w:t>
                  </w:r>
                  <w:r w:rsidRPr="000B575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0B5759" w:rsidRPr="00731B1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Υποχρεωτική</w:t>
                  </w:r>
                  <w:r w:rsidR="00127C9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ς</w:t>
                  </w:r>
                  <w:r w:rsidR="000B5759" w:rsidRPr="00731B1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 Αναμόρφωση</w:t>
                  </w:r>
                  <w:r w:rsidR="00127C9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ς </w:t>
                  </w:r>
                  <w:r w:rsidR="000B5759" w:rsidRPr="00731B1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 Προϋπολογισμού και ΟΠΔ έτους 202</w:t>
                  </w:r>
                  <w:r w:rsidR="000B5759">
                    <w:rPr>
                      <w:rFonts w:ascii="Calibri" w:eastAsia="SimSun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5</w:t>
                  </w:r>
                  <w:r w:rsidR="000B5759" w:rsidRPr="00731B19">
                    <w:rPr>
                      <w:rFonts w:ascii="Calibri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 (</w:t>
                  </w:r>
                  <w:r w:rsidR="000B5759">
                    <w:rPr>
                      <w:rFonts w:ascii="Calibri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150</w:t>
                  </w:r>
                  <w:r w:rsidR="000B5759" w:rsidRPr="00731B19">
                    <w:rPr>
                      <w:rFonts w:ascii="Calibri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/202</w:t>
                  </w:r>
                  <w:r w:rsidR="000B5759">
                    <w:rPr>
                      <w:rFonts w:ascii="Calibri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>5</w:t>
                  </w:r>
                  <w:r w:rsidR="000B5759" w:rsidRPr="00731B19">
                    <w:rPr>
                      <w:rFonts w:ascii="Calibri" w:hAnsi="Calibri" w:cs="Calibri"/>
                      <w:b/>
                      <w:i w:val="0"/>
                      <w:color w:val="auto"/>
                      <w:sz w:val="22"/>
                      <w:szCs w:val="22"/>
                    </w:rPr>
                    <w:t xml:space="preserve"> Απόφαση Δ.Ε).</w:t>
                  </w:r>
                </w:p>
                <w:p w:rsidR="00431CE0" w:rsidRPr="000B5759" w:rsidRDefault="00431CE0" w:rsidP="000B5759">
                  <w:pPr>
                    <w:spacing w:beforeLines="40" w:afterLines="40"/>
                    <w:ind w:left="438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431CE0" w:rsidRDefault="00431CE0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="000B5759" w:rsidRPr="00655381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AA57D6" w:rsidRDefault="00AA57D6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263F7F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0B5759"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>ΤΕΧΝΙΚΩΝ ΥΠΗΡΕΣΙΩΝ</w:t>
                  </w:r>
                </w:p>
                <w:p w:rsidR="00087AEC" w:rsidRPr="00D1028D" w:rsidRDefault="00087AEC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E474CC" w:rsidRPr="00DE64E9" w:rsidRDefault="00AA57D6" w:rsidP="00DE64E9">
                  <w:pPr>
                    <w:pStyle w:val="a4"/>
                    <w:numPr>
                      <w:ilvl w:val="0"/>
                      <w:numId w:val="8"/>
                    </w:numPr>
                    <w:spacing w:beforeLines="40" w:afterLines="40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E64E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="00DE64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474CC" w:rsidRPr="00DE64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Απόφασης περί </w:t>
                  </w:r>
                  <w:r w:rsidR="00E474CC" w:rsidRPr="00DE64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«Τροποποίησης του Τεχνικού Προγράμματος Εκτελεστέων Έργων </w:t>
                  </w:r>
                  <w:r w:rsidR="00E474CC" w:rsidRPr="00DE64E9">
                    <w:rPr>
                      <w:rStyle w:val="a5"/>
                      <w:rFonts w:asciiTheme="minorHAnsi" w:hAnsiTheme="minorHAnsi" w:cstheme="minorHAnsi"/>
                      <w:sz w:val="22"/>
                      <w:szCs w:val="22"/>
                    </w:rPr>
                    <w:t xml:space="preserve"> οικον. Έτους 2025</w:t>
                  </w:r>
                  <w:r w:rsidR="00E474CC" w:rsidRPr="00DE64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Δήμου </w:t>
                  </w:r>
                  <w:proofErr w:type="spellStart"/>
                  <w:r w:rsidR="00E474CC" w:rsidRPr="00DE64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Λεβαδέων</w:t>
                  </w:r>
                  <w:proofErr w:type="spellEnd"/>
                  <w:r w:rsidR="00E474CC" w:rsidRPr="00DE64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»</w:t>
                  </w:r>
                  <w:r w:rsidR="00E474CC" w:rsidRPr="00DE64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474CC" w:rsidRPr="00DE64E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</w:t>
                  </w:r>
                  <w:r w:rsidR="00E474CC" w:rsidRPr="00127C9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145/2025</w:t>
                  </w:r>
                  <w:r w:rsidR="00E474CC" w:rsidRPr="00DE64E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Απόφαση Δ.Ε)</w:t>
                  </w:r>
                </w:p>
                <w:p w:rsidR="00E474CC" w:rsidRPr="00D1028D" w:rsidRDefault="00E474CC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245D48" w:rsidRDefault="00245D48" w:rsidP="000B5759">
                  <w:pPr>
                    <w:tabs>
                      <w:tab w:val="num" w:pos="370"/>
                    </w:tabs>
                    <w:spacing w:beforeLines="40" w:afterLines="40"/>
                    <w:ind w:left="370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E474CC" w:rsidRPr="00C478B3" w:rsidRDefault="00E474CC" w:rsidP="00DE64E9">
                  <w:pPr>
                    <w:pStyle w:val="ab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1028D">
                    <w:rPr>
                      <w:rFonts w:asciiTheme="minorHAnsi" w:hAnsiTheme="minorHAnsi" w:cstheme="minorHAnsi"/>
                    </w:rPr>
                    <w:t xml:space="preserve">Λήψη  Απόφασης περί </w:t>
                  </w:r>
                  <w:r w:rsidRPr="00C478B3">
                    <w:rPr>
                      <w:rFonts w:asciiTheme="minorHAnsi" w:hAnsiTheme="minorHAnsi" w:cstheme="minorHAnsi"/>
                      <w:b/>
                    </w:rPr>
                    <w:t>«</w:t>
                  </w:r>
                  <w:r w:rsidR="00C478B3" w:rsidRPr="00C478B3">
                    <w:rPr>
                      <w:rFonts w:asciiTheme="minorHAnsi" w:eastAsia="Arial Unicode MS" w:hAnsiTheme="minorHAnsi" w:cstheme="minorHAnsi"/>
                      <w:b/>
                    </w:rPr>
                    <w:t>Έγκρισης 1</w:t>
                  </w:r>
                  <w:r w:rsidR="00C478B3" w:rsidRPr="00C478B3">
                    <w:rPr>
                      <w:rFonts w:asciiTheme="minorHAnsi" w:eastAsia="Arial Unicode MS" w:hAnsiTheme="minorHAnsi" w:cstheme="minorHAnsi"/>
                      <w:b/>
                      <w:vertAlign w:val="superscript"/>
                    </w:rPr>
                    <w:t>ης</w:t>
                  </w:r>
                  <w:r w:rsidR="00C478B3" w:rsidRPr="00C478B3">
                    <w:rPr>
                      <w:rFonts w:asciiTheme="minorHAnsi" w:eastAsia="Arial Unicode MS" w:hAnsiTheme="minorHAnsi" w:cstheme="minorHAnsi"/>
                      <w:b/>
                    </w:rPr>
                    <w:t xml:space="preserve"> παράτασης προθεσμίας περαίωσης εργασιών του έργου</w:t>
                  </w:r>
                  <w:r w:rsidR="00C478B3" w:rsidRPr="00C478B3">
                    <w:rPr>
                      <w:rFonts w:asciiTheme="minorHAnsi" w:eastAsia="Arial Unicode MS" w:hAnsiTheme="minorHAnsi" w:cstheme="minorHAnsi"/>
                    </w:rPr>
                    <w:t xml:space="preserve">  : </w:t>
                  </w:r>
                  <w:r w:rsidR="00C478B3" w:rsidRPr="00C478B3">
                    <w:rPr>
                      <w:rFonts w:asciiTheme="minorHAnsi" w:hAnsiTheme="minorHAnsi" w:cstheme="minorHAnsi"/>
                    </w:rPr>
                    <w:t>«</w:t>
                  </w:r>
                  <w:r w:rsidR="00C478B3" w:rsidRPr="00C478B3">
                    <w:rPr>
                      <w:rFonts w:asciiTheme="minorHAnsi" w:hAnsiTheme="minorHAnsi" w:cstheme="minorHAnsi"/>
                      <w:b/>
                    </w:rPr>
                    <w:t>ΑΝΤΙΚΑΤΑΣΤΑΣΗ ΑΓΩΓΩΝ ΓΙΑ ΤΟΝ ΕΚΣΥΓΧΡΟΝΙΣΜΟ ΤΗΣ ΧΡΗΣΗΣ ΝΕΡΟΥ ΑΡΔΕΥΣΗΣ ΛΑΦΥΣΤΙΟΥ ΔΗΜΟΥ ΛΕΒΑΔΕΩΝ</w:t>
                  </w:r>
                  <w:r w:rsidRPr="00C478B3">
                    <w:rPr>
                      <w:rFonts w:asciiTheme="minorHAnsi" w:hAnsiTheme="minorHAnsi" w:cstheme="minorHAnsi"/>
                      <w:b/>
                    </w:rPr>
                    <w:t>»</w:t>
                  </w:r>
                </w:p>
                <w:p w:rsidR="00E474CC" w:rsidRDefault="00E474CC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lastRenderedPageBreak/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E54383" w:rsidRPr="000A2D50" w:rsidRDefault="00E54383" w:rsidP="00E54383">
                  <w:pPr>
                    <w:pStyle w:val="ab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1028D">
                    <w:rPr>
                      <w:rFonts w:asciiTheme="minorHAnsi" w:hAnsiTheme="minorHAnsi" w:cstheme="minorHAnsi"/>
                    </w:rPr>
                    <w:t xml:space="preserve">Λήψη  Απόφασης περί </w:t>
                  </w:r>
                  <w:r w:rsidRPr="000A2D50">
                    <w:rPr>
                      <w:rFonts w:asciiTheme="minorHAnsi" w:hAnsiTheme="minorHAnsi" w:cstheme="minorHAnsi"/>
                      <w:b/>
                    </w:rPr>
                    <w:t>«</w:t>
                  </w:r>
                  <w:r>
                    <w:rPr>
                      <w:rFonts w:asciiTheme="minorHAnsi" w:hAnsiTheme="minorHAnsi" w:cstheme="minorHAnsi"/>
                      <w:b/>
                    </w:rPr>
                    <w:t>Έγκρισης</w:t>
                  </w:r>
                  <w:r w:rsidRPr="002767EB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Επέκτασης Δικτύου Δημοτικού Φωτισμού στην </w:t>
                  </w:r>
                  <w:r w:rsidR="00127C99">
                    <w:rPr>
                      <w:rFonts w:asciiTheme="minorHAnsi" w:hAnsiTheme="minorHAnsi" w:cstheme="minorHAnsi"/>
                      <w:b/>
                    </w:rPr>
                    <w:t>οδό Διαγόρα στη Λιβαδειά</w:t>
                  </w:r>
                  <w:r w:rsidRPr="000A2D50">
                    <w:rPr>
                      <w:rFonts w:asciiTheme="minorHAnsi" w:hAnsiTheme="minorHAnsi" w:cstheme="minorHAnsi"/>
                      <w:b/>
                    </w:rPr>
                    <w:t>»</w:t>
                  </w:r>
                </w:p>
                <w:p w:rsidR="00E54383" w:rsidRDefault="00E54383" w:rsidP="00E5438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4048CE" w:rsidRPr="004048CE" w:rsidRDefault="004048CE" w:rsidP="00DE64E9">
                  <w:pPr>
                    <w:tabs>
                      <w:tab w:val="num" w:pos="370"/>
                    </w:tabs>
                    <w:spacing w:beforeLines="40" w:afterLines="40"/>
                    <w:ind w:left="37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0719B" w:rsidRPr="00DB0AAF" w:rsidRDefault="0030719B" w:rsidP="0030719B">
            <w:pPr>
              <w:pStyle w:val="a7"/>
              <w:ind w:left="7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lastRenderedPageBreak/>
              <w:t>Ι</w:t>
            </w:r>
            <w:r w:rsidR="00005EDC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DF7F54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  <w:lang w:val="en-US"/>
              </w:rPr>
              <w:t>I</w:t>
            </w: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ΘΕΜΑΤΑ  Δ/ΝΣΗΣ  </w:t>
            </w:r>
            <w:r w:rsidR="00E474CC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ΚΑΘΑΡΙΟΤΗΤΑΣ ΠΕΡΙΒΑΛΛΟΝΤΟΣ</w:t>
            </w:r>
          </w:p>
          <w:p w:rsidR="0030719B" w:rsidRPr="00DB0AAF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E474CC" w:rsidRPr="00DE64E9" w:rsidRDefault="0030719B" w:rsidP="00DE64E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64E9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Λήψη απόφασης του Δημοτικού Συμβουλίου περί </w:t>
            </w:r>
            <w:r w:rsidR="00E474CC" w:rsidRPr="00DE64E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«Γνωμοδότηση 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επί μελέτης περιβαλλοντικών επιπτώσεων του έργου με τίτλο :</w:t>
            </w:r>
            <w:r w:rsidR="00E474CC" w:rsidRPr="00D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«Κατασκευή και λειτουργία συγκροτήματος δύο αιολικών σταθμών παραγωγής ηλεκτρικής ενέργειας (ΑΣΠΗΕ) με διακριτές ονομασίες «ΧΛΩΜΟ Ι» και «ΧΛΩΜΟ ΙΙ» ισχύος 37,2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MW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και 19,8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MW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αντίστοιχα, στις θέσεις «ΚΑΛΟΓΡΙΑ – ΜΥΤΙΚΑΣ» και «ΚΟΜΜΕΝΗ ΡΑΧΗ – ΠΡΟΦΗΤΗΣ ΗΛΙΑΣ» και των συνοδών τους έργων στις Δ.Ε. Αταλάντης Δήμου </w:t>
            </w:r>
            <w:proofErr w:type="spellStart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Λοκρών</w:t>
            </w:r>
            <w:proofErr w:type="spellEnd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Π.Ε. Φθιώτιδας, στη Δ.Ε. Ελάτειας Δήμου Αμφίκλειας – Ελάτειας Π.Ε. Φθιώτιδας και στις Δ.Ε. Δαύλειας και Χαιρώνειας Δήμου </w:t>
            </w:r>
            <w:proofErr w:type="spellStart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Λεβαδέων</w:t>
            </w:r>
            <w:proofErr w:type="spellEnd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Π.Ε. Βοιωτίας, της εταιρείας  Χ.ΡΟΚΑΣ Α.Β.Ε.Ε.»</w:t>
            </w:r>
          </w:p>
          <w:p w:rsidR="0030719B" w:rsidRPr="00DB0AAF" w:rsidRDefault="00E474CC" w:rsidP="00E474CC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5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30719B" w:rsidRDefault="0030719B" w:rsidP="0030719B">
            <w:pPr>
              <w:ind w:left="438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 w:rsidR="00E474CC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Δήμαρχος </w:t>
            </w:r>
            <w:proofErr w:type="spellStart"/>
            <w:r w:rsidR="00E474CC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Λεβαδέων</w:t>
            </w:r>
            <w:proofErr w:type="spellEnd"/>
            <w:r w:rsidR="00E474CC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 Δημήτριος Κ. </w:t>
            </w:r>
            <w:proofErr w:type="spellStart"/>
            <w:r w:rsidR="00E474CC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Καραμάνης</w:t>
            </w:r>
            <w:proofErr w:type="spellEnd"/>
          </w:p>
          <w:p w:rsidR="004048CE" w:rsidRPr="00DB0AAF" w:rsidRDefault="004048CE" w:rsidP="0030719B">
            <w:pPr>
              <w:ind w:left="438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</w:p>
          <w:p w:rsidR="00E474CC" w:rsidRPr="00DE64E9" w:rsidRDefault="001E7EED" w:rsidP="00DE64E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E9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Λήψη απόφασης του Δημοτικού Συμβουλίου περί </w:t>
            </w:r>
            <w:r w:rsidRPr="00DE64E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«</w:t>
            </w:r>
            <w:r w:rsidR="00E474CC" w:rsidRPr="00DE64E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Γνωμοδότηση 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επί μελέτης περιβαλλοντικών επιπτώσεων του έργου με τίτλο :</w:t>
            </w:r>
            <w:r w:rsidR="00E474CC" w:rsidRPr="00D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«Ίδρυση πλωτής μονάδας εκτροφής Θαλάσσιων Μεσογειακών Ιχθύων σε θαλάσσια έκταση 20 στρεμμάτων, η οποία παραχωρείται με τη διαδικασία της </w:t>
            </w:r>
            <w:proofErr w:type="spellStart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μοριοδότησης</w:t>
            </w:r>
            <w:proofErr w:type="spellEnd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στη θέση «Όρμος Μεγάλη Αγιά» Κορινθιακού Κόλπου, Δήμου </w:t>
            </w:r>
            <w:proofErr w:type="spellStart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Λεβαδέων</w:t>
            </w:r>
            <w:proofErr w:type="spellEnd"/>
            <w:r w:rsidR="00E474CC" w:rsidRPr="00DE64E9">
              <w:rPr>
                <w:rFonts w:asciiTheme="minorHAnsi" w:hAnsiTheme="minorHAnsi" w:cstheme="minorHAnsi"/>
                <w:b/>
                <w:sz w:val="22"/>
                <w:szCs w:val="22"/>
              </w:rPr>
              <w:t>, Περιφερειακής Ενότητας Βοιωτίας, Περιφέρειας Στερεάς Ελλάδας, της εταιρίας ΓΑΛΑΞΙΔΙ ΘΑΛΑΣΣΙΕΣ ΚΑΛΛΙΕΡΓΕΙΕΣ Α.Ε.»</w:t>
            </w:r>
          </w:p>
          <w:p w:rsidR="0030719B" w:rsidRPr="001E7EED" w:rsidRDefault="00E474CC" w:rsidP="00E474CC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5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E474CC" w:rsidRDefault="00E474CC" w:rsidP="00E474CC">
            <w:pPr>
              <w:ind w:left="438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Δήμαρχος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Λεβαδέων</w:t>
            </w:r>
            <w:proofErr w:type="spellEnd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 Δημήτριος Κ.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Καραμάνης</w:t>
            </w:r>
            <w:proofErr w:type="spellEnd"/>
          </w:p>
          <w:p w:rsidR="00E474CC" w:rsidRDefault="00E474CC" w:rsidP="00E474CC">
            <w:pPr>
              <w:ind w:left="438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</w:p>
          <w:p w:rsidR="001E7EED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DB0A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Ι</w:t>
            </w:r>
            <w:r w:rsidR="00005ED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 w:rsidRPr="00DB0A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1E7EED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ΘΕΜΑΤΑ ΑΥΤΟΤΕΛΟΥΣ ΤΜΗΜΑΤΟΣ</w:t>
            </w:r>
            <w:r w:rsidR="001E7EE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ΤΟΠΙΚΗΣ ΟΙΚΟΝΟΜΙΚΗΣ ΑΝΑΠΤΥΞΗΣ</w:t>
            </w:r>
          </w:p>
          <w:p w:rsidR="001E7EED" w:rsidRDefault="001E7EED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1E7EED" w:rsidRPr="00E474CC" w:rsidRDefault="001E7EED" w:rsidP="00DE64E9">
            <w:pPr>
              <w:pStyle w:val="a8"/>
              <w:numPr>
                <w:ilvl w:val="0"/>
                <w:numId w:val="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DB0AAF">
              <w:rPr>
                <w:rFonts w:asciiTheme="minorHAnsi" w:hAnsiTheme="minorHAnsi" w:cstheme="minorHAnsi"/>
                <w:sz w:val="22"/>
                <w:szCs w:val="22"/>
              </w:rPr>
              <w:t>Λήψη Απόφασης  περί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74CC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>Έ</w:t>
            </w:r>
            <w:r w:rsidR="00E474CC" w:rsidRPr="00E474CC">
              <w:rPr>
                <w:rFonts w:ascii="Calibri" w:hAnsi="Calibri" w:cs="Calibri"/>
                <w:b/>
                <w:color w:val="000000"/>
                <w:sz w:val="22"/>
                <w:szCs w:val="22"/>
                <w:highlight w:val="white"/>
              </w:rPr>
              <w:t>γκριση</w:t>
            </w:r>
            <w:r w:rsidR="00E474CC" w:rsidRPr="00E47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ς </w:t>
            </w:r>
            <w:r w:rsidR="00E474CC" w:rsidRPr="00E474CC">
              <w:rPr>
                <w:rFonts w:ascii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Σχεδίου </w:t>
            </w:r>
            <w:r w:rsidR="00E474CC" w:rsidRPr="00E474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για την σύναψη Π</w:t>
            </w:r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 xml:space="preserve">ρογραμματικής Σύμβασης μεταξύ της Περιφέρειας Στ. Ελλάδας- Περιφερειακή Ενότητα Βοιωτίας και του Δήμου </w:t>
            </w:r>
            <w:proofErr w:type="spellStart"/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>Λεβαδέων</w:t>
            </w:r>
            <w:proofErr w:type="spellEnd"/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 xml:space="preserve">, που αφορά τη διαχείριση αρδευτικών γεωτρήσεων που βρίσκονται στα διοικητικά όρια του Δήμου </w:t>
            </w:r>
            <w:proofErr w:type="spellStart"/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>Λεβαδέων</w:t>
            </w:r>
            <w:proofErr w:type="spellEnd"/>
            <w:r w:rsidR="00E474CC" w:rsidRPr="00E474CC">
              <w:rPr>
                <w:rFonts w:ascii="Calibri" w:hAnsi="Calibri" w:cs="Calibri"/>
                <w:b/>
                <w:sz w:val="22"/>
                <w:szCs w:val="22"/>
              </w:rPr>
              <w:t>, για την αρδευτική περίοδο 2025 και  ορισμός δύο εκπροσώπων του Δήμου ως μέλη της Κοινής Επιτροπής Παρακολούθησης</w:t>
            </w:r>
            <w:r w:rsidRPr="00E474CC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1E7EED" w:rsidRDefault="001E7EED" w:rsidP="001E7EE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2958E3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>
              <w:rPr>
                <w:rFonts w:asciiTheme="minorHAnsi" w:hAnsiTheme="minorHAnsi" w:cstheme="minorHAnsi"/>
                <w:bCs/>
                <w:spacing w:val="-7"/>
                <w:shd w:val="clear" w:color="auto" w:fill="FFFFFF"/>
              </w:rPr>
              <w:t xml:space="preserve"> </w:t>
            </w:r>
            <w:r w:rsidRPr="002958E3">
              <w:rPr>
                <w:rFonts w:asciiTheme="minorHAnsi" w:hAnsiTheme="minorHAnsi" w:cstheme="minorHAnsi"/>
                <w:bCs/>
                <w:spacing w:val="-7"/>
                <w:shd w:val="clear" w:color="auto" w:fill="FFFFFF"/>
              </w:rPr>
              <w:t xml:space="preserve"> κ. 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Χαράλαμπος Κατής , με αρμοδιότητα εποπτείας δικτύου άρδευσης –διαχείριση και λειτουργία των αρδευτικών υδάτων</w:t>
            </w:r>
          </w:p>
          <w:p w:rsidR="001E7EED" w:rsidRDefault="001E7EED" w:rsidP="001E7EE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30719B" w:rsidRPr="00DB0AAF" w:rsidRDefault="00245D48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  <w:r w:rsidR="0030719B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ΑΥΤΟΤΕΛΟΥΣ ΤΜΗΜΑΤΟΣ </w:t>
            </w:r>
            <w:r w:rsidR="0084156D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ΠΟΛΙΤΙΣΜΟΥ </w:t>
            </w:r>
            <w:r w:rsidR="00146E2E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84156D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ΑΘΛΗΤΙΣΜΟΥ</w:t>
            </w:r>
            <w:r w:rsidR="00146E2E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ΚΑΙ ΤΟΥΡΙΣΜΟΥ</w:t>
            </w:r>
          </w:p>
          <w:p w:rsidR="0030719B" w:rsidRPr="00DB0AAF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30719B" w:rsidRPr="00DB0AAF" w:rsidRDefault="0030719B" w:rsidP="00DE64E9">
            <w:pPr>
              <w:pStyle w:val="a8"/>
              <w:numPr>
                <w:ilvl w:val="0"/>
                <w:numId w:val="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Λήψη Απόφασης  περί </w:t>
            </w:r>
            <w:r w:rsidR="00E474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74CC" w:rsidRPr="00E474CC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E474CC" w:rsidRPr="00581E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Συνδιοργάνωσης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 xml:space="preserve"> με τον ΑΚΟΛ και την ΕΓΟ,  αθλητικής εκδήλωσης,</w:t>
            </w:r>
            <w:r w:rsidR="00E474CC" w:rsidRPr="00C478B3">
              <w:rPr>
                <w:b/>
                <w:sz w:val="22"/>
                <w:szCs w:val="22"/>
              </w:rPr>
              <w:t xml:space="preserve"> </w:t>
            </w:r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 xml:space="preserve"> Κύπελλο Αεροβικής Γυμναστικής Α’-Β’-Γ’-Δ’ κατηγοριών (Ανδρών-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Γυναικώ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ν /Εφήβων-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Νεανίδω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ν/ Παίδων-Κορασίδων /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Παμπαίδων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Παγκορασίδων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) LEVEL B (</w:t>
            </w:r>
            <w:proofErr w:type="spellStart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>προαγωνιστικό</w:t>
            </w:r>
            <w:proofErr w:type="spellEnd"/>
            <w:r w:rsidR="00E474CC" w:rsidRPr="00C478B3">
              <w:rPr>
                <w:rFonts w:ascii="Calibri" w:hAnsi="Calibri" w:cs="Calibri"/>
                <w:b/>
                <w:sz w:val="22"/>
                <w:szCs w:val="22"/>
              </w:rPr>
              <w:t xml:space="preserve">) – AEROCOMBO, που πρόκειται να διεξαχθεί στην Λιβαδειά, στο Κλειστό Δημοτικό Γυμναστήριο, στις </w:t>
            </w:r>
            <w:r w:rsidR="00E474CC" w:rsidRPr="00C478B3">
              <w:rPr>
                <w:rFonts w:ascii="Calibri" w:hAnsi="Calibri" w:cs="Calibri"/>
                <w:b/>
                <w:bCs/>
                <w:sz w:val="22"/>
                <w:szCs w:val="22"/>
              </w:rPr>
              <w:t>16-17 Μαΐου 2025</w:t>
            </w:r>
            <w:r w:rsidR="00E474CC">
              <w:rPr>
                <w:rFonts w:ascii="Calibri" w:hAnsi="Calibri" w:cs="Calibri"/>
                <w:b/>
                <w:bCs/>
              </w:rPr>
              <w:t>»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DB0AAF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 κ.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proofErr w:type="spellStart"/>
            <w:r w:rsidR="0084156D"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="0084156D"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 (Νότης)</w:t>
            </w:r>
          </w:p>
          <w:p w:rsidR="001E7EED" w:rsidRPr="00DB0AAF" w:rsidRDefault="001E7EED" w:rsidP="001E7EE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4048CE" w:rsidRDefault="004048CE" w:rsidP="004048CE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  κα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  κ.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3B127A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961615" w:rsidRDefault="003B127A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3B127A" w:rsidRPr="00CE5665" w:rsidRDefault="00282C4A" w:rsidP="00DE64E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αθαριότητας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</w:t>
            </w:r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>εριβάλλοντος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>Δημάκας</w:t>
            </w:r>
            <w:proofErr w:type="spellEnd"/>
            <w:r w:rsidR="00DE64E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Λουκάς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E7EED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1E7EED" w:rsidRPr="00961615" w:rsidRDefault="001E7EED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1E7EED" w:rsidRDefault="00E470F8" w:rsidP="00961615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αμένη Αυτοτελούς Τμήματος Τοπ. Οικον. Ανάπτυξης      κα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Μίχου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Ευσταθία</w:t>
            </w:r>
          </w:p>
        </w:tc>
      </w:tr>
      <w:tr w:rsidR="003B127A" w:rsidRPr="00C15CA0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8B2E00" w:rsidRDefault="00961615" w:rsidP="001E7E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1E7E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22" w:type="dxa"/>
            <w:shd w:val="clear" w:color="auto" w:fill="FFFFFF"/>
          </w:tcPr>
          <w:p w:rsidR="003B127A" w:rsidRPr="00961615" w:rsidRDefault="00282C4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146E2E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Πολιτισμού, Αθλητισμού &amp; Τουρισμού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</w:tbl>
    <w:p w:rsidR="003B127A" w:rsidRPr="00C52A9C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1C" w:rsidRDefault="00302E1C" w:rsidP="005E5D39">
      <w:r>
        <w:separator/>
      </w:r>
    </w:p>
  </w:endnote>
  <w:endnote w:type="continuationSeparator" w:id="0">
    <w:p w:rsidR="00302E1C" w:rsidRDefault="00302E1C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593690">
            <w:rPr>
              <w:noProof/>
            </w:rPr>
            <w:t>1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1C" w:rsidRDefault="00302E1C" w:rsidP="005E5D39">
      <w:r>
        <w:separator/>
      </w:r>
    </w:p>
  </w:footnote>
  <w:footnote w:type="continuationSeparator" w:id="0">
    <w:p w:rsidR="00302E1C" w:rsidRDefault="00302E1C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D9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94786D18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4A7A63DC"/>
    <w:multiLevelType w:val="hybridMultilevel"/>
    <w:tmpl w:val="30F80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5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00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9DD"/>
    <w:rsid w:val="003004E8"/>
    <w:rsid w:val="00301DB2"/>
    <w:rsid w:val="00302E1C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0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72CC4-FE91-404C-83DF-C84E1A3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4</cp:revision>
  <cp:lastPrinted>2025-04-25T08:38:00Z</cp:lastPrinted>
  <dcterms:created xsi:type="dcterms:W3CDTF">2025-04-25T08:23:00Z</dcterms:created>
  <dcterms:modified xsi:type="dcterms:W3CDTF">2025-04-25T09:08:00Z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