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73D6C">
        <w:rPr>
          <w:rFonts w:ascii="Arial" w:eastAsia="Arial" w:hAnsi="Arial" w:cs="Arial"/>
          <w:b/>
          <w:bCs/>
          <w:sz w:val="22"/>
          <w:szCs w:val="22"/>
        </w:rPr>
        <w:t>16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5C1905">
        <w:rPr>
          <w:rFonts w:ascii="Arial" w:eastAsia="Arial" w:hAnsi="Arial" w:cs="Arial"/>
          <w:b/>
          <w:bCs/>
          <w:sz w:val="22"/>
          <w:szCs w:val="22"/>
        </w:rPr>
        <w:t>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F4503">
        <w:rPr>
          <w:rFonts w:ascii="Arial" w:eastAsia="Arial" w:hAnsi="Arial" w:cs="Arial"/>
          <w:b/>
          <w:bCs/>
          <w:sz w:val="22"/>
          <w:szCs w:val="22"/>
        </w:rPr>
        <w:t>7252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5C1905">
        <w:rPr>
          <w:rFonts w:ascii="Arial" w:hAnsi="Arial" w:cs="Arial"/>
          <w:b/>
          <w:sz w:val="22"/>
          <w:szCs w:val="22"/>
        </w:rPr>
        <w:t>6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A86F75" w:rsidRDefault="003C235F" w:rsidP="00A86F75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8B694F">
        <w:rPr>
          <w:rFonts w:ascii="Arial" w:hAnsi="Arial" w:cs="Arial"/>
          <w:b/>
          <w:sz w:val="22"/>
          <w:szCs w:val="22"/>
        </w:rPr>
        <w:t>4</w:t>
      </w:r>
      <w:r w:rsidR="00BA6800">
        <w:rPr>
          <w:rFonts w:ascii="Arial" w:hAnsi="Arial" w:cs="Arial"/>
          <w:b/>
          <w:sz w:val="22"/>
          <w:szCs w:val="22"/>
        </w:rPr>
        <w:t>4</w:t>
      </w:r>
    </w:p>
    <w:p w:rsidR="00BA6800" w:rsidRPr="00BA6800" w:rsidRDefault="00BA6800" w:rsidP="00BA6800">
      <w:pPr>
        <w:rPr>
          <w:rFonts w:ascii="Arial" w:eastAsia="Arial" w:hAnsi="Arial" w:cs="Arial"/>
          <w:b/>
          <w:sz w:val="22"/>
          <w:szCs w:val="22"/>
        </w:rPr>
      </w:pPr>
      <w:r w:rsidRPr="00BA6800">
        <w:rPr>
          <w:rFonts w:ascii="Arial" w:hAnsi="Arial" w:cs="Arial"/>
          <w:b/>
          <w:sz w:val="22"/>
          <w:szCs w:val="22"/>
        </w:rPr>
        <w:t>Λήψη απόφασης περί υποβολής αίτησης – φακέλου χρηματοδότησης πράξης με τίτλο:</w:t>
      </w:r>
      <w:r w:rsidRPr="00BA6800">
        <w:rPr>
          <w:rFonts w:ascii="Arial" w:eastAsia="Arial" w:hAnsi="Arial" w:cs="Arial"/>
          <w:b/>
          <w:sz w:val="22"/>
          <w:szCs w:val="22"/>
        </w:rPr>
        <w:t xml:space="preserve"> «ΣΥΝΟΔΕΥΤΙΚΕΣ  ΔΡΑΣΕΙΣ ΟΔΟΦΩΤΙΣΜΟΥ ΕΝΤΟΣ ΤΗΣ ΠΕΡΙΟΧΗΣ ΠΑΡΕΜΒΑΣΗΣ ΤΟΥ ΔΗΜΟΥ ΛΕΒΑΔΕΩΝ (ΑΝΑΤΟΛΙΚΗ ΚΑΙ ΔΥΤΙΚΗ ΕΙΣΟΔΟΙ ΠΟΛΗΣ)» στο Πρόγραμμα ‘’ΣΤΕΡΕΑ ΕΛΛΑΔΑ΄΄ 2021-2027.</w:t>
      </w:r>
    </w:p>
    <w:p w:rsidR="000C01B5" w:rsidRDefault="000C01B5" w:rsidP="008B694F">
      <w:pPr>
        <w:pStyle w:val="ad"/>
        <w:spacing w:line="288" w:lineRule="auto"/>
        <w:ind w:left="284" w:hanging="284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>15</w:t>
      </w:r>
      <w:r w:rsidR="00592A0F" w:rsidRPr="005C190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5C1905">
        <w:rPr>
          <w:rFonts w:ascii="Arial" w:hAnsi="Arial" w:cs="Arial"/>
          <w:sz w:val="22"/>
          <w:szCs w:val="22"/>
        </w:rPr>
        <w:t>Απριλίου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5C1905">
        <w:rPr>
          <w:rFonts w:ascii="Arial" w:hAnsi="Arial" w:cs="Arial"/>
          <w:sz w:val="22"/>
          <w:szCs w:val="22"/>
        </w:rPr>
        <w:t>Μ. Τρίτη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 xml:space="preserve">7039/11-04-2025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E01FB" w:rsidRDefault="007E01FB" w:rsidP="007E01F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5 (πέντε )  , ήτοι:</w:t>
      </w:r>
    </w:p>
    <w:p w:rsidR="007E01FB" w:rsidRDefault="007E01FB" w:rsidP="007E01F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7E01FB" w:rsidRDefault="007E01FB" w:rsidP="007E01F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7E01FB" w:rsidRDefault="007E01FB" w:rsidP="007E01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7E01FB" w:rsidRDefault="007E01FB" w:rsidP="007E01F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7E01FB" w:rsidRDefault="007E01FB" w:rsidP="007E01F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7E01FB" w:rsidRDefault="007E01FB" w:rsidP="007E01F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(αποχώρησε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Αν και είχαν νόμιμα προσκληθεί                                  </w:t>
      </w:r>
    </w:p>
    <w:p w:rsidR="007E01FB" w:rsidRDefault="007E01FB" w:rsidP="007E01F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κ. Παπαβασιλείου  Αικατερίνης)                                   </w:t>
      </w:r>
    </w:p>
    <w:p w:rsidR="00FB3A2A" w:rsidRDefault="007E01FB" w:rsidP="007E01FB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FB3A2A" w:rsidRPr="00FB3A2A"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9C4114">
        <w:rPr>
          <w:rFonts w:ascii="Arial" w:eastAsia="Arial" w:hAnsi="Arial" w:cs="Arial"/>
          <w:sz w:val="22"/>
          <w:szCs w:val="22"/>
        </w:rPr>
        <w:t>6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9C4114">
        <w:rPr>
          <w:rFonts w:ascii="Arial" w:eastAsia="Arial" w:hAnsi="Arial" w:cs="Arial"/>
          <w:sz w:val="22"/>
          <w:szCs w:val="22"/>
        </w:rPr>
        <w:t>7022</w:t>
      </w:r>
      <w:r w:rsidR="00716CA9">
        <w:rPr>
          <w:rFonts w:ascii="Arial" w:hAnsi="Arial" w:cs="Arial"/>
          <w:sz w:val="22"/>
          <w:szCs w:val="22"/>
        </w:rPr>
        <w:t>/1</w:t>
      </w:r>
      <w:r w:rsidR="009C4114">
        <w:rPr>
          <w:rFonts w:ascii="Arial" w:hAnsi="Arial" w:cs="Arial"/>
          <w:sz w:val="22"/>
          <w:szCs w:val="22"/>
        </w:rPr>
        <w:t>1</w:t>
      </w:r>
      <w:r w:rsidR="008C225A">
        <w:rPr>
          <w:rFonts w:ascii="Arial" w:hAnsi="Arial" w:cs="Arial"/>
          <w:sz w:val="22"/>
          <w:szCs w:val="22"/>
        </w:rPr>
        <w:t>-04-2025</w:t>
      </w:r>
      <w:r w:rsidR="008C225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215303">
        <w:rPr>
          <w:rFonts w:ascii="Arial" w:eastAsia="Arial" w:hAnsi="Arial" w:cs="Arial"/>
          <w:sz w:val="22"/>
          <w:szCs w:val="22"/>
        </w:rPr>
        <w:t xml:space="preserve">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215303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15303">
        <w:rPr>
          <w:rFonts w:ascii="Arial" w:eastAsia="Arial" w:hAnsi="Arial" w:cs="Arial"/>
          <w:sz w:val="22"/>
          <w:szCs w:val="22"/>
        </w:rPr>
        <w:t xml:space="preserve"> Τεχνικών  Υπηρεσιών</w:t>
      </w:r>
      <w:r w:rsidR="00215303" w:rsidRPr="00023CB9">
        <w:rPr>
          <w:rFonts w:ascii="Arial" w:eastAsia="Arial" w:hAnsi="Arial" w:cs="Arial"/>
          <w:sz w:val="22"/>
          <w:szCs w:val="22"/>
        </w:rPr>
        <w:t xml:space="preserve"> </w:t>
      </w:r>
      <w:r w:rsidR="00215303"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21530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15303">
        <w:rPr>
          <w:rFonts w:ascii="Arial" w:hAnsi="Arial" w:cs="Arial"/>
          <w:sz w:val="22"/>
          <w:szCs w:val="22"/>
        </w:rPr>
        <w:t>Λεβαδέων</w:t>
      </w:r>
      <w:proofErr w:type="spellEnd"/>
      <w:r w:rsidR="00215303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8B694F" w:rsidRDefault="008B694F" w:rsidP="008B694F">
      <w:pPr>
        <w:pStyle w:val="240"/>
        <w:ind w:left="720"/>
        <w:jc w:val="both"/>
        <w:rPr>
          <w:sz w:val="20"/>
        </w:rPr>
      </w:pPr>
    </w:p>
    <w:p w:rsidR="00C80220" w:rsidRPr="00C80220" w:rsidRDefault="00C80220" w:rsidP="00C80220">
      <w:pPr>
        <w:rPr>
          <w:rFonts w:ascii="Arial" w:hAnsi="Arial" w:cs="Arial"/>
          <w:bCs/>
          <w:i/>
          <w:color w:val="000000"/>
          <w:spacing w:val="-2"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Στα πλαίσια της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ΕΛΛΑΔΑ΄΄</w:t>
      </w:r>
      <w:r w:rsidRPr="00C80220">
        <w:rPr>
          <w:rFonts w:ascii="Arial" w:eastAsia="Arial" w:hAnsi="Arial" w:cs="Arial"/>
          <w:i/>
          <w:sz w:val="22"/>
          <w:szCs w:val="22"/>
        </w:rPr>
        <w:t xml:space="preserve">.2021-2027 </w:t>
      </w:r>
      <w:r w:rsidRPr="00C80220">
        <w:rPr>
          <w:rFonts w:ascii="Arial" w:hAnsi="Arial" w:cs="Arial"/>
          <w:i/>
          <w:sz w:val="22"/>
          <w:szCs w:val="22"/>
        </w:rPr>
        <w:t xml:space="preserve">ο Δήμος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προτίθεται να υποβάλει πρόταση για χρηματοδότηση έργου με τίτλο:   </w:t>
      </w:r>
      <w:r w:rsidRPr="00C8022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«ΣΥΝΟΔΕΥΤΙΚΕΣ ΔΡΑΣΕΙΣ ΟΔΟΦΩΤΙΣΜΟΥ ΕΝΤΟΣ ΤΗΣ ΠΕΡΙΟΧΗΣ ΠΑΡΕΜΒΑΣΗΣ ΤΟΥ ΔΗΜΟΥ ΛΕΒΑΔΕΩΝ ( ΑΝΑΤΟΛΙΚΗ ΚΑΙ ΔΥΤΙΚΗ ΕΙΣΟΔΟΙ ΠΟΛΗΣ)»  στο</w:t>
      </w:r>
      <w:r w:rsidRPr="00C80220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 ΕΛΛΑΔΑ΄΄</w:t>
      </w:r>
      <w:r w:rsidRPr="00C80220">
        <w:rPr>
          <w:rFonts w:ascii="Arial" w:eastAsia="Arial" w:hAnsi="Arial" w:cs="Arial"/>
          <w:i/>
          <w:sz w:val="22"/>
          <w:szCs w:val="22"/>
        </w:rPr>
        <w:t>. 2021 - 2027</w:t>
      </w:r>
      <w:r w:rsidRPr="00C8022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 με προϋπολογισμό </w:t>
      </w:r>
      <w:r w:rsidRPr="001F0E63">
        <w:rPr>
          <w:rFonts w:ascii="Arial" w:eastAsia="Arial Unicode MS" w:hAnsi="Arial" w:cs="Arial"/>
          <w:i/>
          <w:sz w:val="22"/>
          <w:szCs w:val="22"/>
        </w:rPr>
        <w:t>199.687,12€</w:t>
      </w:r>
      <w:r w:rsidRPr="00FB24F9">
        <w:rPr>
          <w:rFonts w:ascii="Arial" w:eastAsia="Arial Unicode MS" w:hAnsi="Arial" w:cs="Arial"/>
          <w:sz w:val="22"/>
          <w:szCs w:val="22"/>
        </w:rPr>
        <w:t xml:space="preserve">  </w:t>
      </w:r>
      <w:r w:rsidRPr="00C8022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συμπεριλαμβανομένου του ΦΠΑ</w:t>
      </w:r>
    </w:p>
    <w:p w:rsidR="00C80220" w:rsidRPr="00C80220" w:rsidRDefault="00C80220" w:rsidP="00C80220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C80220" w:rsidRPr="00593FEF" w:rsidRDefault="00C80220" w:rsidP="00C80220">
      <w:pPr>
        <w:rPr>
          <w:rFonts w:ascii="Arial" w:hAnsi="Arial" w:cs="Arial"/>
          <w:sz w:val="20"/>
          <w:szCs w:val="20"/>
        </w:rPr>
      </w:pPr>
      <w:r w:rsidRPr="00C80220">
        <w:rPr>
          <w:rFonts w:ascii="Arial" w:hAnsi="Arial" w:cs="Arial"/>
          <w:i/>
          <w:sz w:val="22"/>
          <w:szCs w:val="22"/>
        </w:rPr>
        <w:t>‘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Εχοντας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υπόψη</w:t>
      </w:r>
      <w:r w:rsidRPr="00593FEF">
        <w:rPr>
          <w:rFonts w:ascii="Arial" w:hAnsi="Arial" w:cs="Arial"/>
          <w:sz w:val="20"/>
          <w:szCs w:val="20"/>
        </w:rPr>
        <w:t>:</w:t>
      </w:r>
    </w:p>
    <w:p w:rsidR="00C80220" w:rsidRPr="00593FEF" w:rsidRDefault="00C80220" w:rsidP="00C80220">
      <w:pPr>
        <w:rPr>
          <w:rFonts w:ascii="Arial" w:hAnsi="Arial" w:cs="Arial"/>
          <w:sz w:val="20"/>
          <w:szCs w:val="20"/>
        </w:rPr>
      </w:pPr>
      <w:r w:rsidRPr="00593FEF">
        <w:rPr>
          <w:rFonts w:ascii="Arial" w:hAnsi="Arial" w:cs="Arial"/>
          <w:sz w:val="20"/>
          <w:szCs w:val="20"/>
        </w:rPr>
        <w:t xml:space="preserve"> 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>Το Νόμο 4914/2022 (Α΄ 61) για τη «Διαχείριση, τον έλεγχο και την εφαρμογή αναπτυξιακών παρεμβάσεων για την Προγραμματική Περίοδο 2021 – 2027, σύσταση ανώνυμης εταιρείας ‘’Εθνικό Μητρώο Νεοφυών Επιχειρήσεων Α.Ε.’’ και άλλες διατάξεις» όπως ισχύει.</w:t>
      </w:r>
    </w:p>
    <w:p w:rsidR="00C80220" w:rsidRPr="00C80220" w:rsidRDefault="00C80220" w:rsidP="00C80220">
      <w:pPr>
        <w:numPr>
          <w:ilvl w:val="0"/>
          <w:numId w:val="22"/>
        </w:num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lastRenderedPageBreak/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C80220" w:rsidRPr="00C80220" w:rsidRDefault="00C80220" w:rsidP="00C80220">
      <w:pPr>
        <w:pStyle w:val="61"/>
        <w:widowControl/>
        <w:numPr>
          <w:ilvl w:val="0"/>
          <w:numId w:val="22"/>
        </w:num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- Βελτίωση της οικονομικής και αναπτυξιακής λειτουργίας των Ο.Τ.Α.»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με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84539/02-09-2022 (Β΄4702) Υπουργική Απόφαση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Αναδιάρθωσης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της Ειδικής Υπηρεσίας Διαχείρισης Προγράμματος «Στερεά Ελλάδα», σύμφωνα με την παρ.10 του άρθρου 65 του Ν. 4914/2022 (Α΄ 61</w:t>
      </w:r>
      <w:r w:rsidRPr="00C80220">
        <w:rPr>
          <w:rFonts w:ascii="Arial" w:hAnsi="Arial" w:cs="Arial"/>
          <w:i/>
          <w:sz w:val="22"/>
          <w:szCs w:val="22"/>
        </w:rPr>
        <w:tab/>
        <w:t xml:space="preserve">) και αντικατάσταση της Υπουργικής Απόφασης με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αρ.πρωτ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. 32667/ΕΥΘΥ 325/23-03-2015 (Β΄717)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124143/21-12-2022 έγγραφο της ΕΥΣΣΑ με τίτλο «Κατευθύνσεις για την επιλογή και σχεδιασμό των στρατηγικών στο πλαίσιο των ΟΧΕ-ΒΑΑ και ΤΑΠΤΟΚ».. </w:t>
      </w:r>
    </w:p>
    <w:p w:rsidR="00C80220" w:rsidRPr="00C80220" w:rsidRDefault="00C80220" w:rsidP="00C80220">
      <w:pPr>
        <w:pStyle w:val="27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αριθμό 2949/06.12.2019 Απόφαση έγκρισης της Στρατηγικής Βιώσιμης Αστικής Ανάπτυξης των Δήμων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με τίτλο: «Ολοκληρωμένο Σχέδιο Βιώσιμης Αστικής Ανάπτυξης (ΟΣΒΑΑ) για την Ανάδειξη της ενιαίας ¨Δια-δημοτικής Αστικής Λειτουργικής Περιοχής¨ των Αστικών Κέντρων των Δήμων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ως Περιοχές Ανάδειξης της σύγχρονης Οικονομίας της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,  Βελτίωσης της Ποιότητας Ζωής Πολιτών και Επισκεπτών και Διασφάλισης της Κοινωνικής Συνοχής με αξιοποίηση της ¨Ολοκληρωμένης Χωρικής Επένδυσης¨ (ΟΧΕ)» η οποία συγχρηματοδοτείται από το Ε.Τ.Π.Α. και το Ε.Κ.Τ.</w:t>
      </w:r>
    </w:p>
    <w:p w:rsidR="00C80220" w:rsidRPr="00C80220" w:rsidRDefault="00C80220" w:rsidP="00C80220">
      <w:pPr>
        <w:pStyle w:val="27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αριθμό 895/21.04.2022 Απόφαση Έγκρισης της  Περιφέρειας Στερεάς Ελλάδας της 1</w:t>
      </w:r>
      <w:r w:rsidRPr="00C80220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C80220">
        <w:rPr>
          <w:rFonts w:ascii="Arial" w:hAnsi="Arial" w:cs="Arial"/>
          <w:i/>
          <w:sz w:val="22"/>
          <w:szCs w:val="22"/>
        </w:rPr>
        <w:t xml:space="preserve"> Τροποποίησης της Στρατηγικής Βιώσιμης Αστικής Ανάπτυξης των Δήμων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με τίτλο «Ολοκληρωμένο Σχέδιο Βιώσιμης Αστικής Ανάπτυξης (ΟΣΒΑΑ) για την Ανάδειξη της ενιαίας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΄΄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Δια δημοτικής Αστικής Λειτουργικής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Πέριοχής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’’ των Αστικών Κέντρων των Δήμων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, Βελτίωσης της Ποιότητας Ζωής Πολιτών και Επισκεπτών και διασφάλισης της Κοινωνικής Συνοχής με αξιοποίηση της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΄΄Ολοκληρωμένης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Χωρικής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Επένδυσης΄΄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(ΟΧΕ) η οποία συγχρηματοδοτείται από το Ε.Τ.Π.Α. και το Ε.Κ.Τ.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 4030/22-11-2023 (ΑΔΑ: 67ΑΟ7ΛΗ-Κ0Λ) Πρόσκληση της ΕΥΔ Προγράμματος «Στερεά Ελλάδα» για την υποβολή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επικαιροποιημένων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Στρατηγικών ΟΧΕ-ΒΑΑ στο Πρόγραμμα ‘’Στερεά Ελλάδα 2021-2027’’, όπως ισχύει με την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. 4500/22-12-2023 (ΑΔΑ: 6Β9Μ7ΛΗ-657) 1</w:t>
      </w:r>
      <w:r w:rsidRPr="00C80220">
        <w:rPr>
          <w:rFonts w:ascii="Arial" w:hAnsi="Arial" w:cs="Arial"/>
          <w:i/>
          <w:sz w:val="22"/>
          <w:szCs w:val="22"/>
          <w:vertAlign w:val="superscript"/>
        </w:rPr>
        <w:t xml:space="preserve">η </w:t>
      </w:r>
      <w:r w:rsidRPr="00C80220">
        <w:rPr>
          <w:rFonts w:ascii="Arial" w:hAnsi="Arial" w:cs="Arial"/>
          <w:i/>
          <w:sz w:val="22"/>
          <w:szCs w:val="22"/>
        </w:rPr>
        <w:t>τροποποίηση της και τα συνημμένα της.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10665/31-05-2024 απόφαση του Δήμου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συγκρότησης Συνεκτικής Ομάδας σε επίπεδο Χωρικής Αρχής για την περίοδο 2021-2027.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>Την με αριθμό 4500/22-12-2023 (ΑΔΑ: 6Β9Μ7ΛΗ-657) 1</w:t>
      </w:r>
      <w:r w:rsidRPr="00C80220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C80220">
        <w:rPr>
          <w:rFonts w:ascii="Arial" w:hAnsi="Arial" w:cs="Arial"/>
          <w:i/>
          <w:sz w:val="22"/>
          <w:szCs w:val="22"/>
        </w:rPr>
        <w:t xml:space="preserve"> Τροποποίηση της αρ. 4030/22-11-2023 (ΑΔΑ: 67ΑΟ7ΛΗ-ΚΟΛ) Πρόσκλησης και τα συνημμένα της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. 1762/27-06-2024 (ΑΔΑ: ΨΑΤΠ7ΛΗ-18Ω) Απόφαση του Περιφερειάρχη Στερεάς Ελλάδας με θέμα «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΄Εγκριση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της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επικαιροποιημένης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/συνεχιζόμενης Στρατηγικής Βιώσιμης Αστικής Ανάπτυξης στο Πρόγραμμα «Στερεά Ελλάδα» 2021-2027 με τίτλο «Ολοκληρωμένο Σχέδιο Βιώσιμης Αστικής Ανάπτυξης (ΟΣΒΑΑ) για την Ανάδειξη της ενιαίας ‘’Διαδημοτικής Αστικής Λειτουργικής Περιοχής’’ των Αστικών Κέντρων των Δήμων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,  Βελτίωσης της Ποιότητας Ζωής Πολιτών και Επισκεπτών και διασφάλισης της Κοινωνικής Συνοχής με αξιοποίηση της ‘’Ολοκληρωμένης Χωρικής Επένδυσης’’ (ΟΧΕ)» του Χωρικού Φορέα «Δήμοι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».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αρ. 1887/05-07-2024 (ΑΔΑ: 6Ψ9Β7ΛΗ-6ΞΜ) Απόφαση έγκρισης 45</w:t>
      </w:r>
      <w:r w:rsidRPr="00C80220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C80220">
        <w:rPr>
          <w:rFonts w:ascii="Arial" w:hAnsi="Arial" w:cs="Arial"/>
          <w:i/>
          <w:sz w:val="22"/>
          <w:szCs w:val="22"/>
        </w:rPr>
        <w:t xml:space="preserve"> έκδοσης Εγγράφου Εξειδίκευσης του Προγράμματος «Στερεά Ελλάδα» 2021-2027 για τις δράσεις 5.1. Β «Υλοποίηση ΣΒΑΑ του χωρικού φορέα «Δήμοι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».- </w:t>
      </w:r>
      <w:r w:rsidRPr="00C80220">
        <w:rPr>
          <w:rFonts w:ascii="Arial" w:hAnsi="Arial" w:cs="Arial"/>
          <w:i/>
          <w:sz w:val="22"/>
          <w:szCs w:val="22"/>
          <w:lang w:val="en-US"/>
        </w:rPr>
        <w:t>RSO</w:t>
      </w:r>
      <w:r w:rsidRPr="00C80220">
        <w:rPr>
          <w:rFonts w:ascii="Arial" w:hAnsi="Arial" w:cs="Arial"/>
          <w:i/>
          <w:sz w:val="22"/>
          <w:szCs w:val="22"/>
        </w:rPr>
        <w:t xml:space="preserve">5.1. (ΕΤΠΑ)» και 2.7.Β. «Υλοποίηση ΣΒΑΑ του χωρικού φορέα «Δήμοι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».- </w:t>
      </w:r>
      <w:r w:rsidRPr="00C80220">
        <w:rPr>
          <w:rFonts w:ascii="Arial" w:hAnsi="Arial" w:cs="Arial"/>
          <w:i/>
          <w:sz w:val="22"/>
          <w:szCs w:val="22"/>
          <w:lang w:val="en-US"/>
        </w:rPr>
        <w:t>RSO</w:t>
      </w:r>
      <w:r w:rsidRPr="00C80220">
        <w:rPr>
          <w:rFonts w:ascii="Arial" w:hAnsi="Arial" w:cs="Arial"/>
          <w:i/>
          <w:sz w:val="22"/>
          <w:szCs w:val="22"/>
        </w:rPr>
        <w:t>2.7 (ΕΤΠΑ)»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lastRenderedPageBreak/>
        <w:t xml:space="preserve">Την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αρ. 2053/18.07.2024 (ΑΔΑ: 61ΛΔ7ΛΗ-ΕΒΑ) απόφαση της Επιτροπής Παρακολούθησης του Προγράμματος «Στερεά Ελλάδα» 2021-2027΄με την οποία η Επιτροπή εγκρίνει την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. 1920/09.07.2024 26</w:t>
      </w:r>
      <w:r w:rsidRPr="00C80220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C80220">
        <w:rPr>
          <w:rFonts w:ascii="Arial" w:hAnsi="Arial" w:cs="Arial"/>
          <w:i/>
          <w:sz w:val="22"/>
          <w:szCs w:val="22"/>
        </w:rPr>
        <w:t xml:space="preserve"> Γραπτή Διαδικασία της Επιτροπής Παρακολούθησης του Προγράμματος «Στερεά Ελλάδα» 2021-2027, με την οποία υποβλήθηκαν για έγκριση και τα κριτήρια επιλογής των πράξεων των Δράσεων 5.1 Β «Υλοποίηση ΣΒΑΑ του χωρικού φορέα «Δήμοι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».- </w:t>
      </w:r>
      <w:r w:rsidRPr="00C80220">
        <w:rPr>
          <w:rFonts w:ascii="Arial" w:hAnsi="Arial" w:cs="Arial"/>
          <w:i/>
          <w:sz w:val="22"/>
          <w:szCs w:val="22"/>
          <w:lang w:val="en-US"/>
        </w:rPr>
        <w:t>RSO</w:t>
      </w:r>
      <w:r w:rsidRPr="00C80220">
        <w:rPr>
          <w:rFonts w:ascii="Arial" w:hAnsi="Arial" w:cs="Arial"/>
          <w:i/>
          <w:sz w:val="22"/>
          <w:szCs w:val="22"/>
        </w:rPr>
        <w:t>5.1. (ΕΤΠΑ</w:t>
      </w:r>
      <w:proofErr w:type="gramStart"/>
      <w:r w:rsidRPr="00C80220">
        <w:rPr>
          <w:rFonts w:ascii="Arial" w:hAnsi="Arial" w:cs="Arial"/>
          <w:i/>
          <w:sz w:val="22"/>
          <w:szCs w:val="22"/>
        </w:rPr>
        <w:t>)»</w:t>
      </w:r>
      <w:proofErr w:type="gramEnd"/>
      <w:r w:rsidRPr="00C80220">
        <w:rPr>
          <w:rFonts w:ascii="Arial" w:hAnsi="Arial" w:cs="Arial"/>
          <w:i/>
          <w:sz w:val="22"/>
          <w:szCs w:val="22"/>
        </w:rPr>
        <w:t xml:space="preserve"> και 2.7.Β. «Υλοποίηση ΣΒΑΑ του χωρικού φορέα «Δήμοι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».- </w:t>
      </w:r>
      <w:r w:rsidRPr="00C80220">
        <w:rPr>
          <w:rFonts w:ascii="Arial" w:hAnsi="Arial" w:cs="Arial"/>
          <w:i/>
          <w:sz w:val="22"/>
          <w:szCs w:val="22"/>
          <w:lang w:val="en-US"/>
        </w:rPr>
        <w:t>RSO</w:t>
      </w:r>
      <w:r w:rsidRPr="00C80220">
        <w:rPr>
          <w:rFonts w:ascii="Arial" w:hAnsi="Arial" w:cs="Arial"/>
          <w:i/>
          <w:sz w:val="22"/>
          <w:szCs w:val="22"/>
        </w:rPr>
        <w:t>2.7 (ΕΤΠΑ)» όπως περιγράφονται και εξειδικεύονται στο συνημμένο στην πρόσκληση έγγραφο.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964/ΕΥΚΕ-ΧΕ/109163-ΕΞ/25.07.2024 έγγραφο της ΕΥΚΕ-ΧΕ με θέμα «Διατύπωση γνώμης σχετικά με το σχέδιο πρόσκλησης υποβολής προτάσεων με τίτλο «Υλοποίηση δράσεων της Στρατηγικής Βιώσιμης Ανάπτυξης του Χωρικού Φορέα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’’ - Νέα Έργα»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>Τον «Οδηγό Εφαρμογής για τη συγκρότηση των Ομάδων Υποστήριξης της Διακυβέρνησης των ΟΧΕ και ΟΧΕ/ΒΑΑ την ΠΠ 2021-2027», όπως εκδόθηκε το Δεκέμβριο του 2023.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>Την αρ. 1237/30-04-2024 (ΑΔΑ:Ψ1Β07ΛΗ-ΝΗΨ) ‘’Συγκρότηση Ειδικής Ομάδας για τον συντονισμό των Στρατηγικών ΟΧΕ ΒΑΑ Προγράμματος Στερεά Ελλάδα 2021-2027’’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αρ. 105/2024 (αρ.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10665/31-05-2024) Απόφαση του Δημάρχου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ως επικεφαλής εταίρος του Χωρικού Φορέα συγκρότησης «Τοπικής Ομάδας Υποστήριξης» της ΟΧΕ/ΒΑΑ.</w:t>
      </w:r>
    </w:p>
    <w:p w:rsidR="00C80220" w:rsidRPr="00C80220" w:rsidRDefault="00C80220" w:rsidP="00C80220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2313/30-08-2024 Πρόσκληση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ΕΛΛΑΔΑ΄΄</w:t>
      </w:r>
      <w:r w:rsidRPr="00C80220">
        <w:rPr>
          <w:rFonts w:ascii="Arial" w:eastAsia="Arial" w:hAnsi="Arial" w:cs="Arial"/>
          <w:i/>
          <w:sz w:val="22"/>
          <w:szCs w:val="22"/>
        </w:rPr>
        <w:t>.2021-2027</w:t>
      </w:r>
    </w:p>
    <w:p w:rsidR="00C80220" w:rsidRPr="001F0E63" w:rsidRDefault="00C80220" w:rsidP="00C80220">
      <w:pPr>
        <w:numPr>
          <w:ilvl w:val="0"/>
          <w:numId w:val="22"/>
        </w:numPr>
        <w:shd w:val="clear" w:color="auto" w:fill="FFFFFF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F0E6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1F0E6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F0E63">
        <w:rPr>
          <w:rFonts w:ascii="Arial" w:hAnsi="Arial" w:cs="Arial"/>
          <w:i/>
          <w:sz w:val="22"/>
          <w:szCs w:val="22"/>
        </w:rPr>
        <w:t xml:space="preserve"> αριθμό 37/2025 τεχνική μελέτη προϋπολογισμού </w:t>
      </w:r>
      <w:r w:rsidR="001F0E63" w:rsidRPr="001F0E63">
        <w:rPr>
          <w:rFonts w:ascii="Arial" w:eastAsia="Arial Unicode MS" w:hAnsi="Arial" w:cs="Arial"/>
          <w:i/>
          <w:sz w:val="22"/>
          <w:szCs w:val="22"/>
        </w:rPr>
        <w:t>199.687,12€</w:t>
      </w:r>
      <w:r w:rsidR="001F0E63" w:rsidRPr="001F0E63">
        <w:rPr>
          <w:rFonts w:ascii="Arial" w:eastAsia="Arial Unicode MS" w:hAnsi="Arial" w:cs="Arial"/>
          <w:sz w:val="22"/>
          <w:szCs w:val="22"/>
        </w:rPr>
        <w:t xml:space="preserve">  </w:t>
      </w:r>
      <w:r w:rsidRPr="001F0E63">
        <w:rPr>
          <w:rFonts w:ascii="Arial" w:hAnsi="Arial" w:cs="Arial"/>
          <w:bCs/>
          <w:i/>
          <w:spacing w:val="-2"/>
          <w:sz w:val="22"/>
          <w:szCs w:val="22"/>
        </w:rPr>
        <w:t xml:space="preserve">με ΦΠΑ 24%την οποία συνέταξε η τεχνική υπηρεσία του Δήμου </w:t>
      </w:r>
      <w:proofErr w:type="spellStart"/>
      <w:r w:rsidRPr="001F0E63">
        <w:rPr>
          <w:rFonts w:ascii="Arial" w:hAnsi="Arial" w:cs="Arial"/>
          <w:bCs/>
          <w:i/>
          <w:spacing w:val="-2"/>
          <w:sz w:val="22"/>
          <w:szCs w:val="22"/>
        </w:rPr>
        <w:t>Λεβαδέων</w:t>
      </w:r>
      <w:proofErr w:type="spellEnd"/>
    </w:p>
    <w:p w:rsidR="00C80220" w:rsidRPr="001F0E63" w:rsidRDefault="00C80220" w:rsidP="00C80220">
      <w:pPr>
        <w:numPr>
          <w:ilvl w:val="0"/>
          <w:numId w:val="22"/>
        </w:numPr>
        <w:rPr>
          <w:rFonts w:ascii="Arial" w:hAnsi="Arial" w:cs="Arial"/>
          <w:i/>
          <w:sz w:val="22"/>
          <w:szCs w:val="22"/>
        </w:rPr>
      </w:pPr>
      <w:r w:rsidRPr="001F0E6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1F0E6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F0E63">
        <w:rPr>
          <w:rFonts w:ascii="Arial" w:hAnsi="Arial" w:cs="Arial"/>
          <w:i/>
          <w:sz w:val="22"/>
          <w:szCs w:val="22"/>
        </w:rPr>
        <w:t xml:space="preserve"> αριθμό </w:t>
      </w:r>
      <w:r w:rsidR="001F0E63" w:rsidRPr="001F0E63">
        <w:rPr>
          <w:rFonts w:ascii="Arial" w:hAnsi="Arial" w:cs="Arial"/>
          <w:i/>
          <w:sz w:val="22"/>
          <w:szCs w:val="22"/>
        </w:rPr>
        <w:t>143</w:t>
      </w:r>
      <w:r w:rsidRPr="001F0E63">
        <w:rPr>
          <w:rFonts w:ascii="Arial" w:hAnsi="Arial" w:cs="Arial"/>
          <w:i/>
          <w:sz w:val="22"/>
          <w:szCs w:val="22"/>
        </w:rPr>
        <w:t xml:space="preserve">./2025 απόφαση της Δημοτικής Επιτροπής Δήμου </w:t>
      </w:r>
      <w:proofErr w:type="spellStart"/>
      <w:r w:rsidRPr="001F0E6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1F0E63">
        <w:rPr>
          <w:rFonts w:ascii="Arial" w:hAnsi="Arial" w:cs="Arial"/>
          <w:i/>
          <w:sz w:val="22"/>
          <w:szCs w:val="22"/>
        </w:rPr>
        <w:t xml:space="preserve"> περί έγκρισης τεχνικών προδιαγραφών της </w:t>
      </w:r>
      <w:proofErr w:type="spellStart"/>
      <w:r w:rsidRPr="001F0E6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1F0E63">
        <w:rPr>
          <w:rFonts w:ascii="Arial" w:hAnsi="Arial" w:cs="Arial"/>
          <w:i/>
          <w:sz w:val="22"/>
          <w:szCs w:val="22"/>
        </w:rPr>
        <w:t xml:space="preserve"> αριθμό 37/2025 τεχνικής μελέτης της προμήθειας  με τίτλ</w:t>
      </w:r>
      <w:r w:rsidRPr="001F0E63">
        <w:rPr>
          <w:rFonts w:ascii="Arial" w:hAnsi="Arial" w:cs="Arial"/>
          <w:bCs/>
          <w:i/>
          <w:spacing w:val="-2"/>
          <w:sz w:val="22"/>
          <w:szCs w:val="22"/>
        </w:rPr>
        <w:t>ο:</w:t>
      </w:r>
      <w:r w:rsidRPr="001F0E63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«ΣΥΝΟΔΕΥΤΙΚΕΣ ΔΡΑΣΕΙΣ ΟΔΟΦΩΤΙΣΜΟΥ ΕΝΤΟΣ ΤΗΣ ΠΕΡΙΟΧΗΣ ΠΑΡΕΜΒΑΣΗΣ ΤΟΥ ΔΗΜΟΥ ΛΕΒΑΔΕΩΝ ( ΑΝΑΤΟΛΙΚΗ ΚΑΙ ΔΥΤΙΚΗ ΕΙΣΟΔΟΙ ΠΟΛΗΣ).</w:t>
      </w:r>
    </w:p>
    <w:p w:rsidR="00C80220" w:rsidRPr="00C80220" w:rsidRDefault="00C80220" w:rsidP="00C80220">
      <w:pPr>
        <w:ind w:left="720"/>
        <w:jc w:val="both"/>
        <w:rPr>
          <w:rFonts w:ascii="Arial" w:hAnsi="Arial" w:cs="Arial"/>
          <w:i/>
          <w:sz w:val="22"/>
          <w:szCs w:val="22"/>
        </w:rPr>
      </w:pPr>
      <w:bookmarkStart w:id="0" w:name="__DdeLink__5530_3239253201122"/>
      <w:bookmarkStart w:id="1" w:name="__DdeLink__230_1182636854322"/>
      <w:bookmarkStart w:id="2" w:name="__DdeLink__230_118263685412"/>
      <w:bookmarkStart w:id="3" w:name="__DdeLink__5530_323925320132"/>
      <w:bookmarkStart w:id="4" w:name="__DdeLink__5530_3239253201113"/>
      <w:bookmarkStart w:id="5" w:name="__DdeLink__230_1182636854312"/>
      <w:bookmarkStart w:id="6" w:name="__DdeLink__5530_323925320123"/>
      <w:bookmarkEnd w:id="0"/>
      <w:bookmarkEnd w:id="1"/>
      <w:bookmarkEnd w:id="2"/>
      <w:bookmarkEnd w:id="3"/>
      <w:bookmarkEnd w:id="4"/>
      <w:bookmarkEnd w:id="5"/>
      <w:bookmarkEnd w:id="6"/>
    </w:p>
    <w:p w:rsidR="00C80220" w:rsidRPr="00C80220" w:rsidRDefault="00C80220" w:rsidP="001F0E63">
      <w:pPr>
        <w:pStyle w:val="af1"/>
        <w:tabs>
          <w:tab w:val="clear" w:pos="4153"/>
          <w:tab w:val="clear" w:pos="8306"/>
        </w:tabs>
        <w:ind w:left="720"/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hAnsi="Arial" w:cs="Arial"/>
          <w:i/>
          <w:sz w:val="22"/>
          <w:szCs w:val="22"/>
        </w:rPr>
        <w:t>Π</w:t>
      </w:r>
      <w:r w:rsidR="001F0E63">
        <w:rPr>
          <w:rFonts w:ascii="Arial" w:hAnsi="Arial" w:cs="Arial"/>
          <w:i/>
          <w:sz w:val="22"/>
          <w:szCs w:val="22"/>
        </w:rPr>
        <w:t xml:space="preserve">ροτείνεται  </w:t>
      </w:r>
      <w:r w:rsidRPr="00C80220">
        <w:rPr>
          <w:rFonts w:ascii="Arial" w:hAnsi="Arial" w:cs="Arial"/>
          <w:i/>
          <w:sz w:val="22"/>
          <w:szCs w:val="22"/>
        </w:rPr>
        <w:t xml:space="preserve"> στα μέλη της Δημοτικής Επιτροπής να αποφασίσουν </w:t>
      </w:r>
    </w:p>
    <w:p w:rsidR="00C80220" w:rsidRPr="00C80220" w:rsidRDefault="00C80220" w:rsidP="00C80220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1F0E63" w:rsidRPr="001F0E63" w:rsidRDefault="00C80220" w:rsidP="00C80220">
      <w:pPr>
        <w:numPr>
          <w:ilvl w:val="0"/>
          <w:numId w:val="22"/>
        </w:numPr>
        <w:tabs>
          <w:tab w:val="left" w:pos="1276"/>
          <w:tab w:val="left" w:pos="4678"/>
          <w:tab w:val="left" w:pos="7938"/>
          <w:tab w:val="left" w:pos="8789"/>
        </w:tabs>
        <w:rPr>
          <w:rFonts w:ascii="Arial" w:hAnsi="Arial" w:cs="Arial"/>
          <w:i/>
          <w:sz w:val="22"/>
          <w:szCs w:val="22"/>
        </w:rPr>
      </w:pPr>
      <w:r w:rsidRPr="001F0E63">
        <w:rPr>
          <w:rFonts w:ascii="Arial" w:hAnsi="Arial" w:cs="Arial"/>
          <w:i/>
          <w:sz w:val="22"/>
          <w:szCs w:val="22"/>
        </w:rPr>
        <w:t xml:space="preserve">Για την υποβολή αίτησης - φακέλου πράξης με τίτλο: </w:t>
      </w:r>
      <w:r w:rsidRPr="001F0E63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«ΣΥΝΟΔΕΥΤΙΚΕΣ ΔΡΑΣΕΙΣ ΟΔΟΦΩΤΙΣΜΟΥ ΕΝΤΟΣ ΤΗΣ ΠΕΡΙΟΧΗΣ ΠΑΡΕΜΒΑΣΗΣ ΤΟΥ ΔΗΜΟΥ ΛΕΒΑΔΕΩΝ </w:t>
      </w:r>
    </w:p>
    <w:p w:rsidR="00C80220" w:rsidRPr="00C80220" w:rsidRDefault="00C80220" w:rsidP="001F0E63">
      <w:pPr>
        <w:tabs>
          <w:tab w:val="left" w:pos="1276"/>
          <w:tab w:val="left" w:pos="4678"/>
          <w:tab w:val="left" w:pos="7938"/>
          <w:tab w:val="left" w:pos="8789"/>
        </w:tabs>
        <w:ind w:left="720"/>
        <w:rPr>
          <w:rFonts w:ascii="Arial" w:hAnsi="Arial" w:cs="Arial"/>
          <w:i/>
          <w:sz w:val="22"/>
          <w:szCs w:val="22"/>
        </w:rPr>
      </w:pPr>
      <w:r w:rsidRPr="001F0E63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( ΑΝΑΤΟΛΙΚΗ ΚΑΙ ΔΥΤΙΚΗ ΕΙΣΟΔΟΙ ΠΟΛΗΣ)» προϋπολογισμό </w:t>
      </w:r>
      <w:r w:rsidR="001F0E63" w:rsidRPr="001F0E63">
        <w:rPr>
          <w:rFonts w:ascii="Arial" w:eastAsia="Arial Unicode MS" w:hAnsi="Arial" w:cs="Arial"/>
          <w:i/>
          <w:sz w:val="22"/>
          <w:szCs w:val="22"/>
        </w:rPr>
        <w:t>199.687,12€</w:t>
      </w:r>
      <w:r w:rsidR="001F0E63" w:rsidRPr="001F0E63">
        <w:rPr>
          <w:rFonts w:ascii="Arial" w:eastAsia="Arial Unicode MS" w:hAnsi="Arial" w:cs="Arial"/>
          <w:sz w:val="22"/>
          <w:szCs w:val="22"/>
        </w:rPr>
        <w:t xml:space="preserve">  </w:t>
      </w:r>
      <w:r w:rsidRPr="001F0E63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με ΦΠΑ 24%</w:t>
      </w:r>
      <w:r w:rsidRPr="00C8022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Pr="00C80220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προκειμένου να ενταχθεί και χρηματοδοτηθεί στο πλαίσιο του</w:t>
      </w:r>
      <w:r w:rsidRPr="00C80220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Pr="00C80220">
        <w:rPr>
          <w:rFonts w:ascii="Arial" w:hAnsi="Arial" w:cs="Arial"/>
          <w:i/>
          <w:sz w:val="22"/>
          <w:szCs w:val="22"/>
        </w:rPr>
        <w:t xml:space="preserve">Προγράμματος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 ΕΛΛΑΔΑ΄΄</w:t>
      </w:r>
      <w:r w:rsidRPr="00C80220">
        <w:rPr>
          <w:rFonts w:ascii="Arial" w:eastAsia="Arial" w:hAnsi="Arial" w:cs="Arial"/>
          <w:i/>
          <w:sz w:val="22"/>
          <w:szCs w:val="22"/>
        </w:rPr>
        <w:t>. 2021-2027 από το Ταμείο ΕΤΠΑ  σ</w:t>
      </w:r>
      <w:r w:rsidRPr="00C80220">
        <w:rPr>
          <w:rFonts w:ascii="Arial" w:hAnsi="Arial" w:cs="Arial"/>
          <w:i/>
          <w:sz w:val="22"/>
          <w:szCs w:val="22"/>
        </w:rPr>
        <w:t xml:space="preserve">τα πλαίσια της με αρ.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πρ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C80220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C80220">
        <w:rPr>
          <w:rFonts w:ascii="Arial" w:hAnsi="Arial" w:cs="Arial"/>
          <w:i/>
          <w:sz w:val="22"/>
          <w:szCs w:val="22"/>
        </w:rPr>
        <w:t>’’ - Νέα Έργα»</w:t>
      </w:r>
      <w:r w:rsidRPr="00C80220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C80220" w:rsidRPr="00C80220" w:rsidRDefault="00C80220" w:rsidP="00C80220">
      <w:pPr>
        <w:tabs>
          <w:tab w:val="left" w:pos="1276"/>
          <w:tab w:val="left" w:pos="4678"/>
          <w:tab w:val="left" w:pos="7938"/>
          <w:tab w:val="left" w:pos="8789"/>
        </w:tabs>
        <w:ind w:left="720" w:firstLine="2052"/>
        <w:jc w:val="both"/>
        <w:rPr>
          <w:rFonts w:ascii="Arial" w:eastAsia="SimSun" w:hAnsi="Arial" w:cs="Arial"/>
          <w:i/>
          <w:sz w:val="22"/>
          <w:szCs w:val="22"/>
        </w:rPr>
      </w:pPr>
    </w:p>
    <w:p w:rsidR="00C80220" w:rsidRPr="00C80220" w:rsidRDefault="00C80220" w:rsidP="00C80220">
      <w:pPr>
        <w:pStyle w:val="af1"/>
        <w:numPr>
          <w:ilvl w:val="0"/>
          <w:numId w:val="22"/>
        </w:numPr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C80220">
        <w:rPr>
          <w:rFonts w:ascii="Arial" w:eastAsia="SimSun" w:hAnsi="Arial" w:cs="Arial"/>
          <w:i/>
          <w:sz w:val="22"/>
          <w:szCs w:val="22"/>
        </w:rPr>
        <w:t xml:space="preserve">Για την εξουσιοδότηση του Δημάρχου </w:t>
      </w:r>
      <w:proofErr w:type="spellStart"/>
      <w:r w:rsidRPr="00C80220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C80220">
        <w:rPr>
          <w:rFonts w:ascii="Arial" w:eastAsia="SimSun" w:hAnsi="Arial" w:cs="Arial"/>
          <w:i/>
          <w:sz w:val="22"/>
          <w:szCs w:val="22"/>
        </w:rPr>
        <w:t xml:space="preserve"> ως νόμιμο εκπρόσωπο να υποβάλει την ανωτέρω αίτηση – φάκελο και να υπογράψει κάθε τι σχετικό</w:t>
      </w:r>
    </w:p>
    <w:p w:rsidR="008272FB" w:rsidRPr="00C80220" w:rsidRDefault="008272FB" w:rsidP="008272FB">
      <w:pPr>
        <w:ind w:left="714"/>
        <w:jc w:val="both"/>
        <w:rPr>
          <w:i/>
          <w:sz w:val="22"/>
          <w:szCs w:val="22"/>
        </w:rPr>
      </w:pPr>
    </w:p>
    <w:p w:rsidR="004B7D33" w:rsidRPr="004B7D33" w:rsidRDefault="004B7D33" w:rsidP="004B7D33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1F0E63" w:rsidRDefault="001F0E63" w:rsidP="00D637BD">
      <w:pPr>
        <w:rPr>
          <w:rFonts w:ascii="Arial" w:hAnsi="Arial" w:cs="Arial"/>
          <w:i/>
          <w:sz w:val="22"/>
          <w:szCs w:val="22"/>
        </w:rPr>
      </w:pPr>
    </w:p>
    <w:p w:rsidR="001F0E63" w:rsidRDefault="001F0E63" w:rsidP="00D637BD">
      <w:pPr>
        <w:rPr>
          <w:rFonts w:ascii="Arial" w:hAnsi="Arial" w:cs="Arial"/>
          <w:i/>
          <w:sz w:val="22"/>
          <w:szCs w:val="22"/>
        </w:rPr>
      </w:pPr>
    </w:p>
    <w:p w:rsidR="001F0E63" w:rsidRDefault="001F0E63" w:rsidP="00D637BD">
      <w:pPr>
        <w:rPr>
          <w:rFonts w:ascii="Arial" w:hAnsi="Arial" w:cs="Arial"/>
          <w:i/>
          <w:sz w:val="22"/>
          <w:szCs w:val="22"/>
        </w:rPr>
      </w:pPr>
    </w:p>
    <w:p w:rsidR="001F0E63" w:rsidRPr="00F12F04" w:rsidRDefault="001F0E63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2803DD" w:rsidRPr="00C35157" w:rsidRDefault="002803DD" w:rsidP="002803D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2803DD" w:rsidRPr="00C35157" w:rsidRDefault="002803DD" w:rsidP="002803D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2803DD" w:rsidRPr="009867AB" w:rsidRDefault="002803DD" w:rsidP="002803D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2803DD" w:rsidRPr="004E59FE" w:rsidRDefault="002803DD" w:rsidP="002803D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803DD" w:rsidRDefault="002803DD" w:rsidP="002803D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2803DD" w:rsidRPr="004E1B86" w:rsidRDefault="002803DD" w:rsidP="002803DD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4E1B86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4E1B86">
        <w:rPr>
          <w:rFonts w:ascii="Arial" w:hAnsi="Arial" w:cs="Arial"/>
          <w:sz w:val="22"/>
          <w:szCs w:val="22"/>
        </w:rPr>
        <w:t xml:space="preserve">Την  Πρόσκληση  με αριθ. </w:t>
      </w:r>
      <w:proofErr w:type="spellStart"/>
      <w:r w:rsidRPr="004E1B86">
        <w:rPr>
          <w:rFonts w:ascii="Arial" w:hAnsi="Arial" w:cs="Arial"/>
          <w:sz w:val="22"/>
          <w:szCs w:val="22"/>
        </w:rPr>
        <w:t>πρωτ</w:t>
      </w:r>
      <w:proofErr w:type="spellEnd"/>
      <w:r w:rsidRPr="004E1B86">
        <w:rPr>
          <w:rFonts w:ascii="Arial" w:hAnsi="Arial" w:cs="Arial"/>
          <w:sz w:val="22"/>
          <w:szCs w:val="22"/>
        </w:rPr>
        <w:t xml:space="preserve">. 2313/30-08-2024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4E1B86">
        <w:rPr>
          <w:rFonts w:ascii="Arial" w:hAnsi="Arial" w:cs="Arial"/>
          <w:sz w:val="22"/>
          <w:szCs w:val="22"/>
        </w:rPr>
        <w:t>΄΄Δήμοι</w:t>
      </w:r>
      <w:proofErr w:type="spellEnd"/>
      <w:r w:rsidRPr="004E1B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E1B86">
        <w:rPr>
          <w:rFonts w:ascii="Arial" w:hAnsi="Arial" w:cs="Arial"/>
          <w:sz w:val="22"/>
          <w:szCs w:val="22"/>
        </w:rPr>
        <w:t>Λεβαδέων</w:t>
      </w:r>
      <w:proofErr w:type="spellEnd"/>
      <w:r w:rsidRPr="004E1B86">
        <w:rPr>
          <w:rFonts w:ascii="Arial" w:hAnsi="Arial" w:cs="Arial"/>
          <w:sz w:val="22"/>
          <w:szCs w:val="22"/>
        </w:rPr>
        <w:t xml:space="preserve"> – Θηβαίων &amp; Αλιάρτου </w:t>
      </w:r>
      <w:proofErr w:type="spellStart"/>
      <w:r w:rsidRPr="004E1B86">
        <w:rPr>
          <w:rFonts w:ascii="Arial" w:hAnsi="Arial" w:cs="Arial"/>
          <w:sz w:val="22"/>
          <w:szCs w:val="22"/>
        </w:rPr>
        <w:t>Θ</w:t>
      </w:r>
      <w:r w:rsidR="004E1B86" w:rsidRPr="004E1B86">
        <w:rPr>
          <w:rFonts w:ascii="Arial" w:hAnsi="Arial" w:cs="Arial"/>
          <w:sz w:val="22"/>
          <w:szCs w:val="22"/>
        </w:rPr>
        <w:t>ε</w:t>
      </w:r>
      <w:r w:rsidRPr="004E1B86">
        <w:rPr>
          <w:rFonts w:ascii="Arial" w:hAnsi="Arial" w:cs="Arial"/>
          <w:sz w:val="22"/>
          <w:szCs w:val="22"/>
        </w:rPr>
        <w:t>σπιέων</w:t>
      </w:r>
      <w:proofErr w:type="spellEnd"/>
      <w:r w:rsidRPr="004E1B86">
        <w:rPr>
          <w:rFonts w:ascii="Arial" w:hAnsi="Arial" w:cs="Arial"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4E1B86">
        <w:rPr>
          <w:rFonts w:ascii="Arial" w:hAnsi="Arial" w:cs="Arial"/>
          <w:sz w:val="22"/>
          <w:szCs w:val="22"/>
        </w:rPr>
        <w:t>΅ΣΤΕΡΕΑ</w:t>
      </w:r>
      <w:proofErr w:type="spellEnd"/>
      <w:r w:rsidRPr="004E1B86">
        <w:rPr>
          <w:rFonts w:ascii="Arial" w:hAnsi="Arial" w:cs="Arial"/>
          <w:sz w:val="22"/>
          <w:szCs w:val="22"/>
        </w:rPr>
        <w:t xml:space="preserve"> ΕΛΛΑΔΑ΄΄</w:t>
      </w:r>
      <w:r w:rsidRPr="004E1B86">
        <w:rPr>
          <w:rFonts w:ascii="Arial" w:eastAsia="Arial" w:hAnsi="Arial" w:cs="Arial"/>
          <w:sz w:val="22"/>
          <w:szCs w:val="22"/>
        </w:rPr>
        <w:t>.2021-2027.</w:t>
      </w:r>
    </w:p>
    <w:p w:rsidR="004E1B86" w:rsidRPr="004E1B86" w:rsidRDefault="002803DD" w:rsidP="004E1B86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4E1B86">
        <w:rPr>
          <w:rFonts w:ascii="Arial" w:eastAsia="Arial" w:hAnsi="Arial" w:cs="Arial"/>
          <w:b/>
          <w:sz w:val="22"/>
          <w:szCs w:val="22"/>
        </w:rPr>
        <w:t xml:space="preserve">- </w:t>
      </w:r>
      <w:r w:rsidRPr="004E1B8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4E1B86" w:rsidRPr="004E1B86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="004E1B86" w:rsidRPr="004E1B86">
        <w:rPr>
          <w:rFonts w:ascii="Arial" w:hAnsi="Arial" w:cs="Arial"/>
          <w:sz w:val="22"/>
          <w:szCs w:val="22"/>
        </w:rPr>
        <w:t>υπ΄</w:t>
      </w:r>
      <w:proofErr w:type="spellEnd"/>
      <w:r w:rsidR="004E1B86" w:rsidRPr="004E1B86">
        <w:rPr>
          <w:rFonts w:ascii="Arial" w:hAnsi="Arial" w:cs="Arial"/>
          <w:sz w:val="22"/>
          <w:szCs w:val="22"/>
        </w:rPr>
        <w:t xml:space="preserve"> αριθμό 37/2025 τεχνική μελέτη προϋπολογισμού </w:t>
      </w:r>
      <w:r w:rsidR="004E1B86" w:rsidRPr="004E1B86">
        <w:rPr>
          <w:rFonts w:ascii="Arial" w:eastAsia="Arial Unicode MS" w:hAnsi="Arial" w:cs="Arial"/>
          <w:sz w:val="22"/>
          <w:szCs w:val="22"/>
        </w:rPr>
        <w:t xml:space="preserve">199.687,12€  </w:t>
      </w:r>
      <w:r w:rsidR="004E1B86" w:rsidRPr="004E1B86">
        <w:rPr>
          <w:rFonts w:ascii="Arial" w:hAnsi="Arial" w:cs="Arial"/>
          <w:bCs/>
          <w:spacing w:val="-2"/>
          <w:sz w:val="22"/>
          <w:szCs w:val="22"/>
        </w:rPr>
        <w:t>με ΦΠΑ 24%</w:t>
      </w:r>
      <w:r w:rsidR="00B04F8F"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="004E1B86" w:rsidRPr="004E1B86">
        <w:rPr>
          <w:rFonts w:ascii="Arial" w:hAnsi="Arial" w:cs="Arial"/>
          <w:bCs/>
          <w:spacing w:val="-2"/>
          <w:sz w:val="22"/>
          <w:szCs w:val="22"/>
        </w:rPr>
        <w:t xml:space="preserve">την οποία συνέταξε η τεχνική υπηρεσία του Δήμου </w:t>
      </w:r>
      <w:proofErr w:type="spellStart"/>
      <w:r w:rsidR="004E1B86" w:rsidRPr="004E1B86">
        <w:rPr>
          <w:rFonts w:ascii="Arial" w:hAnsi="Arial" w:cs="Arial"/>
          <w:bCs/>
          <w:spacing w:val="-2"/>
          <w:sz w:val="22"/>
          <w:szCs w:val="22"/>
        </w:rPr>
        <w:t>Λεβαδέων</w:t>
      </w:r>
      <w:proofErr w:type="spellEnd"/>
    </w:p>
    <w:p w:rsidR="004E1B86" w:rsidRPr="004E1B86" w:rsidRDefault="002803DD" w:rsidP="004E1B86">
      <w:pPr>
        <w:rPr>
          <w:rFonts w:ascii="Arial" w:hAnsi="Arial" w:cs="Arial"/>
          <w:sz w:val="22"/>
          <w:szCs w:val="22"/>
        </w:rPr>
      </w:pPr>
      <w:r w:rsidRPr="004E1B86">
        <w:rPr>
          <w:rFonts w:ascii="Arial" w:eastAsia="Arial" w:hAnsi="Arial" w:cs="Arial"/>
          <w:b/>
          <w:bCs/>
          <w:sz w:val="22"/>
          <w:szCs w:val="22"/>
        </w:rPr>
        <w:t xml:space="preserve">-  </w:t>
      </w:r>
      <w:r w:rsidR="004E1B86" w:rsidRPr="004E1B86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="004E1B86" w:rsidRPr="004E1B86">
        <w:rPr>
          <w:rFonts w:ascii="Arial" w:hAnsi="Arial" w:cs="Arial"/>
          <w:sz w:val="22"/>
          <w:szCs w:val="22"/>
        </w:rPr>
        <w:t>υπ΄</w:t>
      </w:r>
      <w:proofErr w:type="spellEnd"/>
      <w:r w:rsidR="004E1B86" w:rsidRPr="004E1B86">
        <w:rPr>
          <w:rFonts w:ascii="Arial" w:hAnsi="Arial" w:cs="Arial"/>
          <w:sz w:val="22"/>
          <w:szCs w:val="22"/>
        </w:rPr>
        <w:t xml:space="preserve"> αριθμό 143./2025 απόφαση της Δημοτικής Επιτροπής Δήμου </w:t>
      </w:r>
      <w:proofErr w:type="spellStart"/>
      <w:r w:rsidR="004E1B86" w:rsidRPr="004E1B86">
        <w:rPr>
          <w:rFonts w:ascii="Arial" w:hAnsi="Arial" w:cs="Arial"/>
          <w:sz w:val="22"/>
          <w:szCs w:val="22"/>
        </w:rPr>
        <w:t>Λεβαδέων</w:t>
      </w:r>
      <w:proofErr w:type="spellEnd"/>
      <w:r w:rsidR="004E1B86" w:rsidRPr="004E1B86">
        <w:rPr>
          <w:rFonts w:ascii="Arial" w:hAnsi="Arial" w:cs="Arial"/>
          <w:sz w:val="22"/>
          <w:szCs w:val="22"/>
        </w:rPr>
        <w:t xml:space="preserve"> περί έγκρισης τεχνικών προδιαγραφών της </w:t>
      </w:r>
      <w:proofErr w:type="spellStart"/>
      <w:r w:rsidR="004E1B86" w:rsidRPr="004E1B86">
        <w:rPr>
          <w:rFonts w:ascii="Arial" w:hAnsi="Arial" w:cs="Arial"/>
          <w:sz w:val="22"/>
          <w:szCs w:val="22"/>
        </w:rPr>
        <w:t>υπ΄</w:t>
      </w:r>
      <w:proofErr w:type="spellEnd"/>
      <w:r w:rsidR="004E1B86" w:rsidRPr="004E1B86">
        <w:rPr>
          <w:rFonts w:ascii="Arial" w:hAnsi="Arial" w:cs="Arial"/>
          <w:sz w:val="22"/>
          <w:szCs w:val="22"/>
        </w:rPr>
        <w:t xml:space="preserve"> αριθμό </w:t>
      </w:r>
      <w:r w:rsidR="00B04F8F">
        <w:rPr>
          <w:rFonts w:ascii="Arial" w:hAnsi="Arial" w:cs="Arial"/>
          <w:sz w:val="22"/>
          <w:szCs w:val="22"/>
        </w:rPr>
        <w:t xml:space="preserve"> </w:t>
      </w:r>
      <w:r w:rsidR="004E1B86" w:rsidRPr="004E1B86">
        <w:rPr>
          <w:rFonts w:ascii="Arial" w:hAnsi="Arial" w:cs="Arial"/>
          <w:sz w:val="22"/>
          <w:szCs w:val="22"/>
        </w:rPr>
        <w:t>37/2025 τεχνικής μελέτης της προμήθειας  με τίτλ</w:t>
      </w:r>
      <w:r w:rsidR="004E1B86" w:rsidRPr="004E1B86">
        <w:rPr>
          <w:rFonts w:ascii="Arial" w:hAnsi="Arial" w:cs="Arial"/>
          <w:bCs/>
          <w:spacing w:val="-2"/>
          <w:sz w:val="22"/>
          <w:szCs w:val="22"/>
        </w:rPr>
        <w:t>ο:</w:t>
      </w:r>
      <w:r w:rsidR="004E1B86" w:rsidRPr="004E1B86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«ΣΥΝΟΔΕΥΤΙΚΕΣ ΔΡΑΣΕΙΣ ΟΔΟΦΩΤΙΣΜΟΥ ΕΝΤΟΣ ΤΗΣ ΠΕΡΙΟΧΗΣ ΠΑΡΕΜΒΑΣΗΣ ΤΟΥ ΔΗΜΟΥ ΛΕΒΑΔΕΩΝ ( ΑΝΑΤΟΛΙΚΗ ΚΑΙ ΔΥΤΙΚΗ ΕΙΣΟΔΟΙ ΠΟΛΗΣ).</w:t>
      </w:r>
    </w:p>
    <w:p w:rsidR="002803DD" w:rsidRDefault="002803DD" w:rsidP="002803D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7022/11</w:t>
      </w:r>
      <w:r w:rsidRPr="009867AB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04</w:t>
      </w:r>
      <w:r w:rsidRPr="009867AB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9867AB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  του </w:t>
      </w:r>
      <w:r w:rsidRPr="00870EBC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2803DD" w:rsidRPr="009867AB" w:rsidRDefault="002803DD" w:rsidP="002803D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2803DD" w:rsidRDefault="002803DD" w:rsidP="002803D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2803DD" w:rsidRPr="00063395" w:rsidRDefault="002803DD" w:rsidP="002803DD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395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063395">
        <w:rPr>
          <w:rFonts w:ascii="Arial" w:eastAsia="Arial" w:hAnsi="Arial" w:cs="Arial"/>
          <w:sz w:val="22"/>
          <w:szCs w:val="22"/>
        </w:rPr>
        <w:t xml:space="preserve"> </w:t>
      </w:r>
      <w:r w:rsidRPr="00063395">
        <w:rPr>
          <w:rFonts w:ascii="Arial" w:hAnsi="Arial" w:cs="Arial"/>
          <w:sz w:val="22"/>
          <w:szCs w:val="22"/>
        </w:rPr>
        <w:t xml:space="preserve">  </w:t>
      </w:r>
    </w:p>
    <w:p w:rsidR="002803DD" w:rsidRPr="009867AB" w:rsidRDefault="002803DD" w:rsidP="002803D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803DD" w:rsidRDefault="002803DD" w:rsidP="002803DD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B04F8F" w:rsidRDefault="002803DD" w:rsidP="00B04F8F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B04F8F" w:rsidRPr="00B04F8F" w:rsidRDefault="002803DD" w:rsidP="00B04F8F">
      <w:pPr>
        <w:pStyle w:val="af9"/>
        <w:numPr>
          <w:ilvl w:val="0"/>
          <w:numId w:val="24"/>
        </w:numPr>
        <w:tabs>
          <w:tab w:val="left" w:pos="1276"/>
          <w:tab w:val="left" w:pos="4678"/>
          <w:tab w:val="left" w:pos="7938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4F8F">
        <w:rPr>
          <w:rFonts w:ascii="Arial" w:eastAsia="Arial Unicode MS" w:hAnsi="Arial" w:cs="Arial"/>
          <w:sz w:val="22"/>
          <w:szCs w:val="22"/>
        </w:rPr>
        <w:t xml:space="preserve"> Εγκρίνει  </w:t>
      </w:r>
      <w:r w:rsidRPr="00B04F8F">
        <w:rPr>
          <w:rFonts w:ascii="Arial" w:hAnsi="Arial" w:cs="Arial"/>
          <w:sz w:val="22"/>
          <w:szCs w:val="22"/>
        </w:rPr>
        <w:t xml:space="preserve">την υποβολή αίτησης  - φακέλου της πράξης </w:t>
      </w:r>
      <w:r w:rsidR="00B04F8F" w:rsidRPr="00B04F8F">
        <w:rPr>
          <w:rFonts w:ascii="Arial" w:hAnsi="Arial" w:cs="Arial"/>
          <w:sz w:val="22"/>
          <w:szCs w:val="22"/>
        </w:rPr>
        <w:t xml:space="preserve">με τίτλο: </w:t>
      </w:r>
      <w:r w:rsidR="00B04F8F" w:rsidRPr="00B04F8F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«ΣΥΝΟΔΕΥΤΙΚΕΣ ΔΡΑΣΕΙΣ ΟΔΟΦΩΤΙΣΜΟΥ ΕΝΤΟΣ ΤΗΣ ΠΕΡΙΟΧΗΣ ΠΑΡΕΜΒΑΣΗΣ ΤΟΥ ΔΗΜΟΥ ΛΕΒΑΔΕΩΝ ( ΑΝΑΤΟΛΙΚΗ ΚΑΙ ΔΥΤΙΚΗ ΕΙΣΟΔΟΙ ΠΟΛΗΣ)» προϋπολογισμό </w:t>
      </w:r>
      <w:r w:rsidR="00B04F8F" w:rsidRPr="00B04F8F">
        <w:rPr>
          <w:rFonts w:ascii="Arial" w:eastAsia="Arial Unicode MS" w:hAnsi="Arial" w:cs="Arial"/>
          <w:sz w:val="22"/>
          <w:szCs w:val="22"/>
        </w:rPr>
        <w:t xml:space="preserve">199.687,12€  </w:t>
      </w:r>
      <w:r w:rsidR="00B04F8F" w:rsidRPr="00B04F8F">
        <w:rPr>
          <w:rFonts w:ascii="Arial" w:hAnsi="Arial" w:cs="Arial"/>
          <w:bCs/>
          <w:color w:val="000000"/>
          <w:spacing w:val="-2"/>
          <w:sz w:val="22"/>
          <w:szCs w:val="22"/>
        </w:rPr>
        <w:t>με ΦΠΑ 24%</w:t>
      </w:r>
      <w:r w:rsidR="00B04F8F" w:rsidRPr="00B04F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B04F8F" w:rsidRPr="00B04F8F">
        <w:rPr>
          <w:rFonts w:ascii="Arial" w:hAnsi="Arial" w:cs="Arial"/>
          <w:bCs/>
          <w:color w:val="000000"/>
          <w:spacing w:val="-2"/>
          <w:sz w:val="22"/>
          <w:szCs w:val="22"/>
        </w:rPr>
        <w:t>προκειμένου να ενταχθεί και χρηματοδοτηθεί στο πλαίσιο του</w:t>
      </w:r>
      <w:r w:rsidR="00B04F8F" w:rsidRPr="00B04F8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B04F8F" w:rsidRPr="00B04F8F">
        <w:rPr>
          <w:rFonts w:ascii="Arial" w:hAnsi="Arial" w:cs="Arial"/>
          <w:sz w:val="22"/>
          <w:szCs w:val="22"/>
        </w:rPr>
        <w:t xml:space="preserve">Προγράμματος </w:t>
      </w:r>
      <w:proofErr w:type="spellStart"/>
      <w:r w:rsidR="00B04F8F" w:rsidRPr="00B04F8F">
        <w:rPr>
          <w:rFonts w:ascii="Arial" w:hAnsi="Arial" w:cs="Arial"/>
          <w:sz w:val="22"/>
          <w:szCs w:val="22"/>
        </w:rPr>
        <w:t>΅ΣΤΕΡΕΑ</w:t>
      </w:r>
      <w:proofErr w:type="spellEnd"/>
      <w:r w:rsidR="00B04F8F" w:rsidRPr="00B04F8F">
        <w:rPr>
          <w:rFonts w:ascii="Arial" w:hAnsi="Arial" w:cs="Arial"/>
          <w:sz w:val="22"/>
          <w:szCs w:val="22"/>
        </w:rPr>
        <w:t xml:space="preserve">  ΕΛΛΑΔΑ΄΄</w:t>
      </w:r>
      <w:r w:rsidR="00B04F8F" w:rsidRPr="00B04F8F">
        <w:rPr>
          <w:rFonts w:ascii="Arial" w:eastAsia="Arial" w:hAnsi="Arial" w:cs="Arial"/>
          <w:sz w:val="22"/>
          <w:szCs w:val="22"/>
        </w:rPr>
        <w:t>. 2021-2027 από το Ταμείο ΕΤΠΑ  σ</w:t>
      </w:r>
      <w:r w:rsidR="00B04F8F" w:rsidRPr="00B04F8F">
        <w:rPr>
          <w:rFonts w:ascii="Arial" w:hAnsi="Arial" w:cs="Arial"/>
          <w:sz w:val="22"/>
          <w:szCs w:val="22"/>
        </w:rPr>
        <w:t xml:space="preserve">τα πλαίσια της με αρ. </w:t>
      </w:r>
      <w:proofErr w:type="spellStart"/>
      <w:r w:rsidR="00B04F8F" w:rsidRPr="00B04F8F">
        <w:rPr>
          <w:rFonts w:ascii="Arial" w:hAnsi="Arial" w:cs="Arial"/>
          <w:sz w:val="22"/>
          <w:szCs w:val="22"/>
        </w:rPr>
        <w:t>πρ</w:t>
      </w:r>
      <w:proofErr w:type="spellEnd"/>
      <w:r w:rsidR="00B04F8F" w:rsidRPr="00B04F8F">
        <w:rPr>
          <w:rFonts w:ascii="Arial" w:hAnsi="Arial" w:cs="Arial"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="00B04F8F" w:rsidRPr="00B04F8F">
        <w:rPr>
          <w:rFonts w:ascii="Arial" w:hAnsi="Arial" w:cs="Arial"/>
          <w:sz w:val="22"/>
          <w:szCs w:val="22"/>
        </w:rPr>
        <w:t>΄΄Δήμοι</w:t>
      </w:r>
      <w:proofErr w:type="spellEnd"/>
      <w:r w:rsidR="00B04F8F" w:rsidRPr="00B04F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4F8F" w:rsidRPr="00B04F8F">
        <w:rPr>
          <w:rFonts w:ascii="Arial" w:hAnsi="Arial" w:cs="Arial"/>
          <w:sz w:val="22"/>
          <w:szCs w:val="22"/>
        </w:rPr>
        <w:t>Λεβαδέων</w:t>
      </w:r>
      <w:proofErr w:type="spellEnd"/>
      <w:r w:rsidR="00B04F8F" w:rsidRPr="00B04F8F">
        <w:rPr>
          <w:rFonts w:ascii="Arial" w:hAnsi="Arial" w:cs="Arial"/>
          <w:sz w:val="22"/>
          <w:szCs w:val="22"/>
        </w:rPr>
        <w:t xml:space="preserve"> – Θηβαίων &amp; Αλιάρτου </w:t>
      </w:r>
      <w:proofErr w:type="spellStart"/>
      <w:r w:rsidR="00B04F8F" w:rsidRPr="00B04F8F">
        <w:rPr>
          <w:rFonts w:ascii="Arial" w:hAnsi="Arial" w:cs="Arial"/>
          <w:sz w:val="22"/>
          <w:szCs w:val="22"/>
        </w:rPr>
        <w:t>Θεσπιέων</w:t>
      </w:r>
      <w:proofErr w:type="spellEnd"/>
      <w:r w:rsidR="00B04F8F" w:rsidRPr="00B04F8F">
        <w:rPr>
          <w:rFonts w:ascii="Arial" w:hAnsi="Arial" w:cs="Arial"/>
          <w:sz w:val="22"/>
          <w:szCs w:val="22"/>
        </w:rPr>
        <w:t>’’ - Νέα Έργα»</w:t>
      </w:r>
      <w:r w:rsidR="00B04F8F" w:rsidRPr="00B04F8F">
        <w:rPr>
          <w:rFonts w:ascii="Arial" w:eastAsia="Arial" w:hAnsi="Arial" w:cs="Arial"/>
          <w:sz w:val="22"/>
          <w:szCs w:val="22"/>
        </w:rPr>
        <w:t xml:space="preserve"> </w:t>
      </w:r>
    </w:p>
    <w:p w:rsidR="00B04F8F" w:rsidRPr="00C80220" w:rsidRDefault="00B04F8F" w:rsidP="00B04F8F">
      <w:pPr>
        <w:tabs>
          <w:tab w:val="left" w:pos="1276"/>
          <w:tab w:val="left" w:pos="4678"/>
          <w:tab w:val="left" w:pos="7938"/>
          <w:tab w:val="left" w:pos="8789"/>
        </w:tabs>
        <w:ind w:left="720" w:firstLine="2052"/>
        <w:jc w:val="both"/>
        <w:rPr>
          <w:rFonts w:ascii="Arial" w:eastAsia="SimSun" w:hAnsi="Arial" w:cs="Arial"/>
          <w:i/>
          <w:sz w:val="22"/>
          <w:szCs w:val="22"/>
        </w:rPr>
      </w:pPr>
    </w:p>
    <w:p w:rsidR="002803DD" w:rsidRPr="00895C33" w:rsidRDefault="002803DD" w:rsidP="00B04F8F">
      <w:pPr>
        <w:pStyle w:val="10"/>
        <w:numPr>
          <w:ilvl w:val="0"/>
          <w:numId w:val="0"/>
        </w:numPr>
        <w:tabs>
          <w:tab w:val="num" w:pos="720"/>
          <w:tab w:val="left" w:pos="1276"/>
          <w:tab w:val="left" w:pos="4678"/>
          <w:tab w:val="left" w:pos="7938"/>
          <w:tab w:val="left" w:pos="8789"/>
        </w:tabs>
        <w:ind w:left="432" w:hanging="432"/>
        <w:jc w:val="both"/>
      </w:pPr>
    </w:p>
    <w:p w:rsidR="002803DD" w:rsidRDefault="002803DD" w:rsidP="00B04F8F">
      <w:pPr>
        <w:pStyle w:val="10"/>
        <w:numPr>
          <w:ilvl w:val="0"/>
          <w:numId w:val="24"/>
        </w:numPr>
        <w:rPr>
          <w:rFonts w:ascii="Arial" w:eastAsia="SimSun" w:hAnsi="Arial" w:cs="Arial"/>
          <w:sz w:val="22"/>
          <w:szCs w:val="22"/>
        </w:rPr>
      </w:pPr>
      <w:r w:rsidRPr="004B7D33">
        <w:rPr>
          <w:rFonts w:ascii="Arial" w:eastAsia="SimSun" w:hAnsi="Arial" w:cs="Arial"/>
          <w:sz w:val="22"/>
          <w:szCs w:val="22"/>
        </w:rPr>
        <w:t xml:space="preserve">Εξουσιοδοτεί  τον Δήμαρχο </w:t>
      </w:r>
      <w:proofErr w:type="spellStart"/>
      <w:r w:rsidRPr="004B7D33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Pr="004B7D33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Pr="004B7D33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Pr="004B7D33">
        <w:rPr>
          <w:rFonts w:ascii="Arial" w:eastAsia="SimSun" w:hAnsi="Arial" w:cs="Arial"/>
          <w:sz w:val="22"/>
          <w:szCs w:val="22"/>
        </w:rPr>
        <w:t xml:space="preserve"> ως νόμιμο εκπρόσωπο να </w:t>
      </w:r>
    </w:p>
    <w:p w:rsidR="002803DD" w:rsidRPr="004B7D33" w:rsidRDefault="00B04F8F" w:rsidP="002803DD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    </w:t>
      </w:r>
      <w:r w:rsidR="002803DD" w:rsidRPr="004B7D33">
        <w:rPr>
          <w:rFonts w:ascii="Arial" w:eastAsia="SimSun" w:hAnsi="Arial" w:cs="Arial"/>
          <w:sz w:val="22"/>
          <w:szCs w:val="22"/>
        </w:rPr>
        <w:t xml:space="preserve">       υποβάλει την ανωτέρω αίτηση – φάκελο και να υπογράψει κάθε τι σχετικό.</w:t>
      </w:r>
    </w:p>
    <w:p w:rsidR="00CB5084" w:rsidRDefault="00CB5084" w:rsidP="008D4ED7">
      <w:pPr>
        <w:jc w:val="both"/>
        <w:rPr>
          <w:sz w:val="20"/>
        </w:rPr>
      </w:pPr>
      <w:r w:rsidRPr="00C26CE4">
        <w:rPr>
          <w:sz w:val="20"/>
        </w:rPr>
        <w:t xml:space="preserve">                                             </w:t>
      </w:r>
    </w:p>
    <w:p w:rsidR="008D4ED7" w:rsidRDefault="008D4ED7" w:rsidP="008D4ED7">
      <w:pPr>
        <w:jc w:val="both"/>
        <w:rPr>
          <w:sz w:val="20"/>
        </w:rPr>
      </w:pPr>
    </w:p>
    <w:p w:rsidR="008D4ED7" w:rsidRDefault="008D4ED7" w:rsidP="008D4ED7">
      <w:pPr>
        <w:jc w:val="both"/>
        <w:rPr>
          <w:sz w:val="20"/>
        </w:rPr>
      </w:pPr>
    </w:p>
    <w:p w:rsidR="008D4ED7" w:rsidRPr="00C26CE4" w:rsidRDefault="008D4ED7" w:rsidP="008D4ED7">
      <w:pPr>
        <w:jc w:val="both"/>
        <w:rPr>
          <w:sz w:val="20"/>
        </w:rPr>
      </w:pP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</w:t>
      </w:r>
      <w:r w:rsidR="00FC0B16">
        <w:rPr>
          <w:rFonts w:ascii="Arial" w:hAnsi="Arial" w:cs="Arial"/>
          <w:b/>
          <w:sz w:val="22"/>
          <w:szCs w:val="22"/>
        </w:rPr>
        <w:t>4</w:t>
      </w:r>
      <w:r w:rsidR="008E3495">
        <w:rPr>
          <w:rFonts w:ascii="Arial" w:hAnsi="Arial" w:cs="Arial"/>
          <w:b/>
          <w:sz w:val="22"/>
          <w:szCs w:val="22"/>
        </w:rPr>
        <w:t>4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8D4ED7" w:rsidRDefault="008D4ED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8D4ED7" w:rsidRDefault="008D4ED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8C225A" w:rsidRDefault="008C225A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</w:t>
      </w: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ΔΗΜΗΤΡΙΟΣ Κ. ΚΑΡΑΜΑΝΗΣ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</w:t>
      </w: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ΠΙΣΤΟ ΑΠΟΣΠΑΣΜΑ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16-04-2025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D40737" w:rsidRDefault="00D40737" w:rsidP="00D40737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0737" w:rsidRDefault="00D40737" w:rsidP="00D40737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D40737" w:rsidRDefault="00D40737" w:rsidP="00D4073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D40737" w:rsidRDefault="00D40737" w:rsidP="00D40737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ΔΗΜΗΤΡΙΟΣ Κ. ΚΑΡΑΜΑΝΗΣ</w:t>
      </w: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ΔΗΜΑΡΧΟΣ ΛΕΒΑΔΕΩΝ                                                                                                                    </w:t>
      </w:r>
    </w:p>
    <w:p w:rsidR="00D40737" w:rsidRDefault="00D40737" w:rsidP="00D40737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D40737" w:rsidRDefault="00D40737" w:rsidP="00D4073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D40737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40" w:rsidRDefault="00F97140">
      <w:r>
        <w:separator/>
      </w:r>
    </w:p>
  </w:endnote>
  <w:endnote w:type="continuationSeparator" w:id="0">
    <w:p w:rsidR="00F97140" w:rsidRDefault="00F9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40" w:rsidRDefault="00F97140">
      <w:r>
        <w:separator/>
      </w:r>
    </w:p>
  </w:footnote>
  <w:footnote w:type="continuationSeparator" w:id="0">
    <w:p w:rsidR="00F97140" w:rsidRDefault="00F9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DF08D1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DF08D1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B223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1D55ED0"/>
    <w:multiLevelType w:val="hybridMultilevel"/>
    <w:tmpl w:val="A420F1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3A14B0"/>
    <w:multiLevelType w:val="hybridMultilevel"/>
    <w:tmpl w:val="BE8447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A82C57"/>
    <w:multiLevelType w:val="hybridMultilevel"/>
    <w:tmpl w:val="92543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3930D3B"/>
    <w:multiLevelType w:val="hybridMultilevel"/>
    <w:tmpl w:val="4AAE4546"/>
    <w:lvl w:ilvl="0" w:tplc="4766876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19"/>
  </w:num>
  <w:num w:numId="7">
    <w:abstractNumId w:val="5"/>
  </w:num>
  <w:num w:numId="8">
    <w:abstractNumId w:val="4"/>
  </w:num>
  <w:num w:numId="9">
    <w:abstractNumId w:val="6"/>
  </w:num>
  <w:num w:numId="10">
    <w:abstractNumId w:val="20"/>
  </w:num>
  <w:num w:numId="11">
    <w:abstractNumId w:val="9"/>
  </w:num>
  <w:num w:numId="12">
    <w:abstractNumId w:val="10"/>
  </w:num>
  <w:num w:numId="13">
    <w:abstractNumId w:val="14"/>
  </w:num>
  <w:num w:numId="14">
    <w:abstractNumId w:val="17"/>
  </w:num>
  <w:num w:numId="15">
    <w:abstractNumId w:val="22"/>
  </w:num>
  <w:num w:numId="16">
    <w:abstractNumId w:val="7"/>
  </w:num>
  <w:num w:numId="17">
    <w:abstractNumId w:val="18"/>
  </w:num>
  <w:num w:numId="18">
    <w:abstractNumId w:val="1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 w:numId="21">
    <w:abstractNumId w:val="15"/>
  </w:num>
  <w:num w:numId="22">
    <w:abstractNumId w:val="16"/>
  </w:num>
  <w:num w:numId="23">
    <w:abstractNumId w:val="21"/>
  </w:num>
  <w:num w:numId="24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57E84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73D6C"/>
    <w:rsid w:val="00181368"/>
    <w:rsid w:val="00181704"/>
    <w:rsid w:val="00181C2A"/>
    <w:rsid w:val="00185FCF"/>
    <w:rsid w:val="00190EE2"/>
    <w:rsid w:val="001919A6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1F0E63"/>
    <w:rsid w:val="001F3BB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594"/>
    <w:rsid w:val="00215648"/>
    <w:rsid w:val="00220033"/>
    <w:rsid w:val="00220115"/>
    <w:rsid w:val="00220938"/>
    <w:rsid w:val="0022153E"/>
    <w:rsid w:val="00224B74"/>
    <w:rsid w:val="00226747"/>
    <w:rsid w:val="00226885"/>
    <w:rsid w:val="00233671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202B"/>
    <w:rsid w:val="00264794"/>
    <w:rsid w:val="00265A2A"/>
    <w:rsid w:val="00267C53"/>
    <w:rsid w:val="00271AF8"/>
    <w:rsid w:val="0027238F"/>
    <w:rsid w:val="00275B54"/>
    <w:rsid w:val="002803DD"/>
    <w:rsid w:val="002836AE"/>
    <w:rsid w:val="0028445A"/>
    <w:rsid w:val="00286B5D"/>
    <w:rsid w:val="00287053"/>
    <w:rsid w:val="00293E34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4A91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2F4503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04F2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A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C9E"/>
    <w:rsid w:val="004C7994"/>
    <w:rsid w:val="004D22B1"/>
    <w:rsid w:val="004D6A9F"/>
    <w:rsid w:val="004D732B"/>
    <w:rsid w:val="004E1B86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2CD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19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627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3440"/>
    <w:rsid w:val="006D4474"/>
    <w:rsid w:val="006D5F2C"/>
    <w:rsid w:val="006D6D71"/>
    <w:rsid w:val="006E06FF"/>
    <w:rsid w:val="006E1125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16CA9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43F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1FB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272FB"/>
    <w:rsid w:val="00830B6D"/>
    <w:rsid w:val="00833173"/>
    <w:rsid w:val="00835B10"/>
    <w:rsid w:val="0083607D"/>
    <w:rsid w:val="008362A3"/>
    <w:rsid w:val="00836929"/>
    <w:rsid w:val="00841741"/>
    <w:rsid w:val="008426F8"/>
    <w:rsid w:val="00842DC4"/>
    <w:rsid w:val="008436B3"/>
    <w:rsid w:val="00846B24"/>
    <w:rsid w:val="00851763"/>
    <w:rsid w:val="00853499"/>
    <w:rsid w:val="00854F4E"/>
    <w:rsid w:val="00856FE8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94F"/>
    <w:rsid w:val="008C00D3"/>
    <w:rsid w:val="008C225A"/>
    <w:rsid w:val="008C4D4B"/>
    <w:rsid w:val="008C56A4"/>
    <w:rsid w:val="008C5C43"/>
    <w:rsid w:val="008D1B71"/>
    <w:rsid w:val="008D2CFA"/>
    <w:rsid w:val="008D4ED7"/>
    <w:rsid w:val="008E0542"/>
    <w:rsid w:val="008E06E5"/>
    <w:rsid w:val="008E1F9E"/>
    <w:rsid w:val="008E3495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BD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92D01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4114"/>
    <w:rsid w:val="009C5AFD"/>
    <w:rsid w:val="009D4B51"/>
    <w:rsid w:val="009E15C3"/>
    <w:rsid w:val="009E48F4"/>
    <w:rsid w:val="009E4F6F"/>
    <w:rsid w:val="009F0223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86F75"/>
    <w:rsid w:val="00A911B6"/>
    <w:rsid w:val="00A92827"/>
    <w:rsid w:val="00A94BD4"/>
    <w:rsid w:val="00AA40CD"/>
    <w:rsid w:val="00AA6E43"/>
    <w:rsid w:val="00AB02A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4F8F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A6800"/>
    <w:rsid w:val="00BB5126"/>
    <w:rsid w:val="00BB6287"/>
    <w:rsid w:val="00BB6FA9"/>
    <w:rsid w:val="00BC2B8C"/>
    <w:rsid w:val="00BC3DB9"/>
    <w:rsid w:val="00BC4511"/>
    <w:rsid w:val="00BC705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2DF9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2BCE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0220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3F74"/>
    <w:rsid w:val="00CC5365"/>
    <w:rsid w:val="00CC55CB"/>
    <w:rsid w:val="00CC648E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CF7BD2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4EE5"/>
    <w:rsid w:val="00D2710C"/>
    <w:rsid w:val="00D2744A"/>
    <w:rsid w:val="00D310DD"/>
    <w:rsid w:val="00D33641"/>
    <w:rsid w:val="00D37CEF"/>
    <w:rsid w:val="00D40737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8D1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1C1A"/>
    <w:rsid w:val="00E64457"/>
    <w:rsid w:val="00E656C8"/>
    <w:rsid w:val="00E70142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37E66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140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23C"/>
    <w:rsid w:val="00FB2AB3"/>
    <w:rsid w:val="00FB3A2A"/>
    <w:rsid w:val="00FB4C61"/>
    <w:rsid w:val="00FB7B27"/>
    <w:rsid w:val="00FC0B16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8B694F"/>
    <w:rPr>
      <w:rFonts w:ascii="Arial" w:hAnsi="Arial" w:cs="Arial"/>
      <w:kern w:val="1"/>
      <w:szCs w:val="20"/>
      <w:lang w:eastAsia="el-GR"/>
    </w:rPr>
  </w:style>
  <w:style w:type="paragraph" w:customStyle="1" w:styleId="29">
    <w:name w:val="Παράγραφος λίστας2"/>
    <w:basedOn w:val="a"/>
    <w:rsid w:val="008B694F"/>
    <w:pPr>
      <w:ind w:left="720"/>
      <w:contextualSpacing/>
    </w:pPr>
    <w:rPr>
      <w:kern w:val="1"/>
      <w:lang w:eastAsia="el-GR"/>
    </w:rPr>
  </w:style>
  <w:style w:type="paragraph" w:customStyle="1" w:styleId="270">
    <w:name w:val="Σώμα κείμενου 27"/>
    <w:basedOn w:val="a"/>
    <w:rsid w:val="001919A6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B469-5F21-4DD6-8BF5-261F3162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2607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16657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18</cp:revision>
  <cp:lastPrinted>2025-04-16T06:51:00Z</cp:lastPrinted>
  <dcterms:created xsi:type="dcterms:W3CDTF">2025-04-14T06:11:00Z</dcterms:created>
  <dcterms:modified xsi:type="dcterms:W3CDTF">2025-04-16T06:57:00Z</dcterms:modified>
</cp:coreProperties>
</file>