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20651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ΑΝΑΡΤΗΤΕΑ ΣΤΗ ΔΙΑΥΓΕΙΑ</w:t>
      </w:r>
    </w:p>
    <w:p w:rsidR="00DA047C" w:rsidRPr="00120651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6700E4">
        <w:rPr>
          <w:rFonts w:ascii="Arial" w:eastAsia="Arial" w:hAnsi="Arial" w:cs="Arial"/>
          <w:b/>
          <w:bCs/>
          <w:sz w:val="22"/>
          <w:szCs w:val="22"/>
        </w:rPr>
        <w:t>0</w:t>
      </w:r>
      <w:r w:rsidR="0028316C">
        <w:rPr>
          <w:rFonts w:ascii="Arial" w:eastAsia="Arial" w:hAnsi="Arial" w:cs="Arial"/>
          <w:b/>
          <w:bCs/>
          <w:sz w:val="22"/>
          <w:szCs w:val="22"/>
        </w:rPr>
        <w:t>7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6700E4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20651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5308B7">
        <w:rPr>
          <w:rFonts w:ascii="Arial" w:eastAsia="Calibri" w:hAnsi="Arial" w:cs="Arial"/>
          <w:b/>
          <w:sz w:val="22"/>
          <w:szCs w:val="22"/>
        </w:rPr>
        <w:t>22552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20651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20651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2065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20651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20651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20651">
        <w:rPr>
          <w:rFonts w:ascii="Arial" w:hAnsi="Arial" w:cs="Arial"/>
          <w:sz w:val="22"/>
          <w:szCs w:val="22"/>
        </w:rPr>
        <w:t>αριθμ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.  </w:t>
      </w:r>
      <w:r w:rsidR="002D6D3C" w:rsidRPr="00120651">
        <w:rPr>
          <w:rFonts w:ascii="Arial" w:hAnsi="Arial" w:cs="Arial"/>
          <w:sz w:val="22"/>
          <w:szCs w:val="22"/>
        </w:rPr>
        <w:t>3</w:t>
      </w:r>
      <w:r w:rsidR="006700E4">
        <w:rPr>
          <w:rFonts w:ascii="Arial" w:hAnsi="Arial" w:cs="Arial"/>
          <w:sz w:val="22"/>
          <w:szCs w:val="22"/>
        </w:rPr>
        <w:t>8</w:t>
      </w:r>
      <w:r w:rsidRPr="00120651">
        <w:rPr>
          <w:rFonts w:ascii="Arial" w:hAnsi="Arial" w:cs="Arial"/>
          <w:sz w:val="22"/>
          <w:szCs w:val="22"/>
          <w:vertAlign w:val="superscript"/>
        </w:rPr>
        <w:t>ης</w:t>
      </w:r>
      <w:r w:rsidRPr="00120651">
        <w:rPr>
          <w:rFonts w:ascii="Arial" w:hAnsi="Arial" w:cs="Arial"/>
          <w:sz w:val="22"/>
          <w:szCs w:val="22"/>
        </w:rPr>
        <w:t xml:space="preserve">  /2024</w:t>
      </w:r>
      <w:r w:rsidRPr="00120651">
        <w:rPr>
          <w:rFonts w:ascii="Arial" w:hAnsi="Arial" w:cs="Arial"/>
          <w:b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20651">
        <w:rPr>
          <w:rFonts w:ascii="Arial" w:eastAsia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206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20651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Αριθμός απόφασης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  <w:r w:rsidR="006700E4">
        <w:rPr>
          <w:rFonts w:ascii="Arial" w:eastAsia="SimSun" w:hAnsi="Arial" w:cs="Arial"/>
          <w:b/>
          <w:sz w:val="22"/>
          <w:szCs w:val="22"/>
        </w:rPr>
        <w:t>40</w:t>
      </w:r>
      <w:r w:rsidR="006605C5">
        <w:rPr>
          <w:rFonts w:ascii="Arial" w:eastAsia="SimSun" w:hAnsi="Arial" w:cs="Arial"/>
          <w:b/>
          <w:sz w:val="22"/>
          <w:szCs w:val="22"/>
        </w:rPr>
        <w:t>4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</w:p>
    <w:p w:rsidR="0005139B" w:rsidRPr="00120651" w:rsidRDefault="0005139B" w:rsidP="00DA047C">
      <w:pPr>
        <w:jc w:val="center"/>
        <w:rPr>
          <w:rFonts w:ascii="Arial" w:eastAsia="SimSun" w:hAnsi="Arial" w:cs="Arial"/>
          <w:sz w:val="22"/>
          <w:szCs w:val="22"/>
        </w:rPr>
      </w:pPr>
    </w:p>
    <w:p w:rsidR="006605C5" w:rsidRPr="007B0E31" w:rsidRDefault="006605C5" w:rsidP="006605C5">
      <w:pPr>
        <w:rPr>
          <w:rFonts w:ascii="Arial" w:hAnsi="Arial" w:cs="Arial"/>
          <w:b/>
          <w:sz w:val="22"/>
          <w:szCs w:val="22"/>
        </w:rPr>
      </w:pPr>
      <w:r w:rsidRPr="007B0E31">
        <w:rPr>
          <w:rFonts w:ascii="Arial" w:hAnsi="Arial" w:cs="Arial"/>
          <w:b/>
          <w:sz w:val="22"/>
          <w:szCs w:val="22"/>
        </w:rPr>
        <w:t xml:space="preserve">   </w:t>
      </w:r>
      <w:r w:rsidRPr="007B0E31">
        <w:rPr>
          <w:rFonts w:ascii="Arial" w:hAnsi="Arial" w:cs="Arial"/>
          <w:b/>
          <w:bCs/>
          <w:sz w:val="22"/>
          <w:szCs w:val="22"/>
        </w:rPr>
        <w:t xml:space="preserve">Απαλλαγή υπολόγου  και έγκριση απόδοσης λογαριασμού του </w:t>
      </w:r>
      <w:proofErr w:type="spellStart"/>
      <w:r w:rsidRPr="007B0E31">
        <w:rPr>
          <w:rFonts w:ascii="Arial" w:hAnsi="Arial" w:cs="Arial"/>
          <w:b/>
          <w:bCs/>
          <w:sz w:val="22"/>
          <w:szCs w:val="22"/>
        </w:rPr>
        <w:t>υπ΄αριθ</w:t>
      </w:r>
      <w:proofErr w:type="spellEnd"/>
      <w:r w:rsidRPr="007B0E31">
        <w:rPr>
          <w:rFonts w:ascii="Arial" w:hAnsi="Arial" w:cs="Arial"/>
          <w:b/>
          <w:bCs/>
          <w:sz w:val="22"/>
          <w:szCs w:val="22"/>
        </w:rPr>
        <w:t>. 2</w:t>
      </w:r>
      <w:r>
        <w:rPr>
          <w:rFonts w:ascii="Arial" w:hAnsi="Arial" w:cs="Arial"/>
          <w:b/>
          <w:bCs/>
          <w:sz w:val="22"/>
          <w:szCs w:val="22"/>
        </w:rPr>
        <w:t>278</w:t>
      </w:r>
      <w:r w:rsidRPr="007B0E31">
        <w:rPr>
          <w:rFonts w:ascii="Arial" w:hAnsi="Arial" w:cs="Arial"/>
          <w:b/>
          <w:bCs/>
          <w:sz w:val="22"/>
          <w:szCs w:val="22"/>
        </w:rPr>
        <w:t>/2024 Χρηματικού Εντάλματος Προπληρωμής.</w:t>
      </w:r>
    </w:p>
    <w:p w:rsidR="008E312F" w:rsidRPr="00120651" w:rsidRDefault="008E312F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20651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</w:t>
      </w:r>
      <w:r w:rsidR="00E22B7A" w:rsidRPr="00120651">
        <w:rPr>
          <w:rFonts w:ascii="Arial" w:hAnsi="Arial" w:cs="Arial"/>
          <w:sz w:val="22"/>
          <w:szCs w:val="22"/>
        </w:rPr>
        <w:t xml:space="preserve">     Στη Λιβαδειά σήμερα  </w:t>
      </w:r>
      <w:r w:rsidR="00144399">
        <w:rPr>
          <w:rFonts w:ascii="Arial" w:hAnsi="Arial" w:cs="Arial"/>
          <w:sz w:val="22"/>
          <w:szCs w:val="22"/>
        </w:rPr>
        <w:t>06</w:t>
      </w:r>
      <w:r w:rsidR="00144399" w:rsidRPr="00144399">
        <w:rPr>
          <w:rFonts w:ascii="Arial" w:hAnsi="Arial" w:cs="Arial"/>
          <w:sz w:val="22"/>
          <w:szCs w:val="22"/>
          <w:vertAlign w:val="superscript"/>
        </w:rPr>
        <w:t>η</w:t>
      </w:r>
      <w:r w:rsidR="00144399">
        <w:rPr>
          <w:rFonts w:ascii="Arial" w:hAnsi="Arial" w:cs="Arial"/>
          <w:sz w:val="22"/>
          <w:szCs w:val="22"/>
        </w:rPr>
        <w:t xml:space="preserve"> </w:t>
      </w:r>
      <w:r w:rsidR="00E22B7A" w:rsidRPr="00120651">
        <w:rPr>
          <w:rFonts w:ascii="Arial" w:hAnsi="Arial" w:cs="Arial"/>
          <w:sz w:val="22"/>
          <w:szCs w:val="22"/>
        </w:rPr>
        <w:t xml:space="preserve">   </w:t>
      </w:r>
      <w:r w:rsidR="00144399">
        <w:rPr>
          <w:rFonts w:ascii="Arial" w:hAnsi="Arial" w:cs="Arial"/>
          <w:sz w:val="22"/>
          <w:szCs w:val="22"/>
        </w:rPr>
        <w:t>Νοεμβρίου</w:t>
      </w:r>
      <w:r w:rsidR="00E22B7A" w:rsidRPr="00120651">
        <w:rPr>
          <w:rFonts w:ascii="Arial" w:hAnsi="Arial" w:cs="Arial"/>
          <w:sz w:val="22"/>
          <w:szCs w:val="22"/>
        </w:rPr>
        <w:t xml:space="preserve">  2024  ημέρα  </w:t>
      </w:r>
      <w:r w:rsidR="00415082">
        <w:rPr>
          <w:rFonts w:ascii="Arial" w:hAnsi="Arial" w:cs="Arial"/>
          <w:sz w:val="22"/>
          <w:szCs w:val="22"/>
        </w:rPr>
        <w:t>Τρίτη</w:t>
      </w:r>
      <w:r w:rsidR="00E22B7A" w:rsidRPr="00120651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μετά την από  </w:t>
      </w:r>
      <w:r w:rsidR="00D327F3">
        <w:rPr>
          <w:rFonts w:ascii="Arial" w:hAnsi="Arial" w:cs="Arial"/>
          <w:sz w:val="22"/>
          <w:szCs w:val="22"/>
        </w:rPr>
        <w:t>22169</w:t>
      </w:r>
      <w:r w:rsidR="00E22B7A" w:rsidRPr="00120651">
        <w:rPr>
          <w:rFonts w:ascii="Arial" w:hAnsi="Arial" w:cs="Arial"/>
          <w:sz w:val="22"/>
          <w:szCs w:val="22"/>
        </w:rPr>
        <w:t>/</w:t>
      </w:r>
      <w:r w:rsidR="00D327F3">
        <w:rPr>
          <w:rFonts w:ascii="Arial" w:hAnsi="Arial" w:cs="Arial"/>
          <w:sz w:val="22"/>
          <w:szCs w:val="22"/>
        </w:rPr>
        <w:t>01</w:t>
      </w:r>
      <w:r w:rsidR="00E22B7A" w:rsidRPr="00120651">
        <w:rPr>
          <w:rFonts w:ascii="Arial" w:hAnsi="Arial" w:cs="Arial"/>
          <w:sz w:val="22"/>
          <w:szCs w:val="22"/>
        </w:rPr>
        <w:t>-</w:t>
      </w:r>
      <w:r w:rsidR="00D327F3">
        <w:rPr>
          <w:rFonts w:ascii="Arial" w:hAnsi="Arial" w:cs="Arial"/>
          <w:sz w:val="22"/>
          <w:szCs w:val="22"/>
        </w:rPr>
        <w:t>11</w:t>
      </w:r>
      <w:r w:rsidR="00E22B7A" w:rsidRPr="00120651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20651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2065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9E44D7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 w:rsidRPr="00120651">
        <w:rPr>
          <w:rFonts w:ascii="Arial" w:hAnsi="Arial" w:cs="Arial"/>
          <w:sz w:val="22"/>
          <w:szCs w:val="22"/>
        </w:rPr>
        <w:t xml:space="preserve">          </w:t>
      </w:r>
      <w:r w:rsidR="0007433E" w:rsidRPr="009E44D7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9E44D7">
        <w:rPr>
          <w:rFonts w:ascii="Arial" w:hAnsi="Arial" w:cs="Arial"/>
          <w:sz w:val="22"/>
          <w:szCs w:val="22"/>
        </w:rPr>
        <w:t xml:space="preserve">             ήταν  παρόντα  </w:t>
      </w:r>
      <w:r w:rsidR="00817BAB">
        <w:rPr>
          <w:rFonts w:ascii="Arial" w:hAnsi="Arial" w:cs="Arial"/>
          <w:sz w:val="22"/>
          <w:szCs w:val="22"/>
        </w:rPr>
        <w:t>6</w:t>
      </w:r>
      <w:r w:rsidRPr="009E44D7">
        <w:rPr>
          <w:rFonts w:ascii="Arial" w:hAnsi="Arial" w:cs="Arial"/>
          <w:sz w:val="22"/>
          <w:szCs w:val="22"/>
        </w:rPr>
        <w:t xml:space="preserve"> (</w:t>
      </w:r>
      <w:r w:rsidR="00817BAB">
        <w:rPr>
          <w:rFonts w:ascii="Arial" w:hAnsi="Arial" w:cs="Arial"/>
          <w:sz w:val="22"/>
          <w:szCs w:val="22"/>
        </w:rPr>
        <w:t>έξι</w:t>
      </w:r>
      <w:r w:rsidRPr="009E44D7">
        <w:rPr>
          <w:rFonts w:ascii="Arial" w:hAnsi="Arial" w:cs="Arial"/>
          <w:sz w:val="22"/>
          <w:szCs w:val="22"/>
        </w:rPr>
        <w:t>)  , ήτοι: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7433E" w:rsidRPr="00120651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</w:t>
      </w:r>
      <w:r w:rsidRPr="0012065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2065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9E44D7" w:rsidRPr="00120651">
        <w:rPr>
          <w:rFonts w:ascii="Arial" w:hAnsi="Arial" w:cs="Arial"/>
          <w:sz w:val="22"/>
          <w:szCs w:val="22"/>
        </w:rPr>
        <w:t>Καραμάνης</w:t>
      </w:r>
      <w:proofErr w:type="spellEnd"/>
      <w:r w:rsidR="009E44D7" w:rsidRPr="00120651">
        <w:rPr>
          <w:rFonts w:ascii="Arial" w:hAnsi="Arial" w:cs="Arial"/>
          <w:sz w:val="22"/>
          <w:szCs w:val="22"/>
        </w:rPr>
        <w:t xml:space="preserve"> Δημήτριος (Πρόεδρος)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1.Ταγκαλέγκας  Ιωάννης</w:t>
      </w:r>
    </w:p>
    <w:p w:rsidR="009E44D7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07433E"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                    Αν και είχε νόμιμα προσκληθεί</w:t>
      </w:r>
    </w:p>
    <w:p w:rsidR="0007433E" w:rsidRPr="00120651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 Παναγιώτης</w:t>
      </w:r>
      <w:r w:rsidR="0007433E" w:rsidRPr="00120651">
        <w:rPr>
          <w:rFonts w:ascii="Arial" w:hAnsi="Arial" w:cs="Arial"/>
          <w:sz w:val="22"/>
          <w:szCs w:val="22"/>
        </w:rPr>
        <w:t xml:space="preserve">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4</w:t>
      </w:r>
      <w:r w:rsidRPr="00120651">
        <w:rPr>
          <w:rFonts w:ascii="Arial" w:hAnsi="Arial" w:cs="Arial"/>
          <w:sz w:val="22"/>
          <w:szCs w:val="22"/>
        </w:rPr>
        <w:t>.</w:t>
      </w:r>
      <w:r w:rsidR="009E4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0E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00E4">
        <w:rPr>
          <w:rFonts w:ascii="Arial" w:hAnsi="Arial" w:cs="Arial"/>
          <w:sz w:val="22"/>
          <w:szCs w:val="22"/>
        </w:rPr>
        <w:t xml:space="preserve"> </w:t>
      </w:r>
      <w:r w:rsidR="009E44D7">
        <w:rPr>
          <w:rFonts w:ascii="Arial" w:hAnsi="Arial" w:cs="Arial"/>
          <w:sz w:val="22"/>
          <w:szCs w:val="22"/>
        </w:rPr>
        <w:t xml:space="preserve"> Χρήστο</w:t>
      </w:r>
      <w:r w:rsidR="006700E4">
        <w:rPr>
          <w:rFonts w:ascii="Arial" w:hAnsi="Arial" w:cs="Arial"/>
          <w:sz w:val="22"/>
          <w:szCs w:val="22"/>
        </w:rPr>
        <w:t>ς</w:t>
      </w:r>
      <w:r w:rsidR="009E44D7" w:rsidRPr="0012065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9E44D7">
        <w:rPr>
          <w:rFonts w:ascii="Arial" w:hAnsi="Arial" w:cs="Arial"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5</w:t>
      </w:r>
      <w:r w:rsidRPr="00120651">
        <w:rPr>
          <w:rFonts w:ascii="Arial" w:hAnsi="Arial" w:cs="Arial"/>
          <w:sz w:val="22"/>
          <w:szCs w:val="22"/>
        </w:rPr>
        <w:t xml:space="preserve">. </w:t>
      </w:r>
      <w:r w:rsidR="009E44D7">
        <w:rPr>
          <w:rFonts w:ascii="Arial" w:hAnsi="Arial" w:cs="Arial"/>
          <w:sz w:val="22"/>
          <w:szCs w:val="22"/>
        </w:rPr>
        <w:t>Παπαβασιλείου Αικατερίνη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6</w:t>
      </w:r>
      <w:r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00E4" w:rsidRPr="00120651">
        <w:rPr>
          <w:rFonts w:ascii="Arial" w:hAnsi="Arial" w:cs="Arial"/>
          <w:sz w:val="22"/>
          <w:szCs w:val="22"/>
        </w:rPr>
        <w:t>Μίχας</w:t>
      </w:r>
      <w:proofErr w:type="spellEnd"/>
      <w:r w:rsidR="006700E4" w:rsidRPr="00120651">
        <w:rPr>
          <w:rFonts w:ascii="Arial" w:hAnsi="Arial" w:cs="Arial"/>
          <w:sz w:val="22"/>
          <w:szCs w:val="22"/>
        </w:rPr>
        <w:t xml:space="preserve"> Δημήτριος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2465A3" w:rsidRPr="00120651" w:rsidRDefault="002465A3" w:rsidP="0007433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2465A3" w:rsidRPr="00120651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DB40B8" w:rsidRPr="002661F0" w:rsidRDefault="0028316C" w:rsidP="00DB40B8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8316C">
        <w:rPr>
          <w:rFonts w:ascii="Arial" w:hAnsi="Arial" w:cs="Arial"/>
          <w:sz w:val="22"/>
          <w:szCs w:val="22"/>
        </w:rPr>
        <w:t xml:space="preserve">      </w:t>
      </w:r>
      <w:r w:rsidRPr="0028316C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DB40B8">
        <w:rPr>
          <w:rFonts w:ascii="Arial" w:eastAsia="Arial" w:hAnsi="Arial" w:cs="Arial"/>
          <w:sz w:val="22"/>
          <w:szCs w:val="22"/>
        </w:rPr>
        <w:t>4</w:t>
      </w:r>
      <w:r w:rsidRPr="0028316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28316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28316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28316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28316C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28316C">
        <w:rPr>
          <w:rFonts w:ascii="Arial" w:eastAsia="Arial" w:hAnsi="Arial" w:cs="Arial"/>
          <w:sz w:val="22"/>
          <w:szCs w:val="22"/>
        </w:rPr>
        <w:t>. 221</w:t>
      </w:r>
      <w:r w:rsidR="009920E0">
        <w:rPr>
          <w:rFonts w:ascii="Arial" w:eastAsia="Arial" w:hAnsi="Arial" w:cs="Arial"/>
          <w:sz w:val="22"/>
          <w:szCs w:val="22"/>
        </w:rPr>
        <w:t>28</w:t>
      </w:r>
      <w:r w:rsidRPr="0028316C">
        <w:rPr>
          <w:rFonts w:ascii="Arial" w:eastAsia="Arial" w:hAnsi="Arial" w:cs="Arial"/>
          <w:sz w:val="22"/>
          <w:szCs w:val="22"/>
        </w:rPr>
        <w:t xml:space="preserve">/01-11-2024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B40B8">
        <w:rPr>
          <w:rFonts w:ascii="Arial" w:eastAsia="Arial" w:hAnsi="Arial" w:cs="Arial"/>
          <w:sz w:val="22"/>
          <w:szCs w:val="22"/>
        </w:rPr>
        <w:t>έγγραφο</w:t>
      </w:r>
      <w:r w:rsidR="00DB40B8" w:rsidRPr="008D226F">
        <w:rPr>
          <w:rFonts w:ascii="Arial" w:eastAsia="Arial" w:hAnsi="Arial" w:cs="Arial"/>
          <w:sz w:val="22"/>
          <w:szCs w:val="22"/>
        </w:rPr>
        <w:t xml:space="preserve"> </w:t>
      </w:r>
      <w:r w:rsidR="00DB40B8">
        <w:rPr>
          <w:rFonts w:ascii="Arial" w:eastAsia="Verdana" w:hAnsi="Arial" w:cs="Arial"/>
          <w:color w:val="000000"/>
          <w:sz w:val="22"/>
          <w:szCs w:val="22"/>
        </w:rPr>
        <w:t xml:space="preserve">του υπολόγου δημοτικού  υπαλλήλου 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</w:t>
      </w:r>
      <w:r w:rsidR="00DB40B8" w:rsidRPr="002661F0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DB40B8" w:rsidRPr="002661F0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DB40B8" w:rsidRPr="002661F0">
        <w:rPr>
          <w:rFonts w:ascii="Arial" w:hAnsi="Arial" w:cs="Arial"/>
          <w:sz w:val="22"/>
          <w:szCs w:val="22"/>
        </w:rPr>
        <w:t>Λεβαδέων</w:t>
      </w:r>
      <w:proofErr w:type="spellEnd"/>
      <w:r w:rsidR="00DB40B8" w:rsidRPr="002661F0">
        <w:rPr>
          <w:rFonts w:ascii="Arial" w:hAnsi="Arial" w:cs="Arial"/>
          <w:sz w:val="22"/>
          <w:szCs w:val="22"/>
        </w:rPr>
        <w:t xml:space="preserve">  </w:t>
      </w:r>
      <w:r w:rsidR="00DB40B8">
        <w:rPr>
          <w:rFonts w:ascii="Arial" w:hAnsi="Arial" w:cs="Arial"/>
          <w:sz w:val="22"/>
          <w:szCs w:val="22"/>
        </w:rPr>
        <w:t xml:space="preserve">κ. Χατζόπουλου Παρασκευά  </w:t>
      </w:r>
      <w:r w:rsidR="00DB40B8" w:rsidRPr="002661F0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DB40B8" w:rsidRPr="002661F0">
        <w:rPr>
          <w:rFonts w:ascii="Arial" w:hAnsi="Arial" w:cs="Arial"/>
          <w:sz w:val="22"/>
          <w:szCs w:val="22"/>
        </w:rPr>
        <w:t>τα παρακάτω: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 </w:t>
      </w:r>
    </w:p>
    <w:p w:rsidR="006605C5" w:rsidRPr="00DB40B8" w:rsidRDefault="006605C5" w:rsidP="00DB40B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DB40B8">
        <w:rPr>
          <w:rFonts w:ascii="Arial" w:hAnsi="Arial" w:cs="Arial"/>
          <w:sz w:val="22"/>
          <w:szCs w:val="22"/>
        </w:rPr>
        <w:t>Σύμφωνα με το άρθρο 32, παρ.1 και 2 του Β.Δ. 17-5/15-6-59 (ΦΕΚ 114/59 τεύχος Α') ορίζεται ότι: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«</w:t>
      </w:r>
      <w:r w:rsidRPr="004601C6">
        <w:rPr>
          <w:rFonts w:ascii="Arial" w:hAnsi="Arial" w:cs="Arial"/>
          <w:b/>
          <w:bCs/>
          <w:i/>
          <w:sz w:val="22"/>
          <w:szCs w:val="22"/>
        </w:rPr>
        <w:t>1.</w:t>
      </w:r>
      <w:r w:rsidRPr="004601C6">
        <w:rPr>
          <w:rFonts w:ascii="Arial" w:hAnsi="Arial" w:cs="Arial"/>
          <w:i/>
          <w:sz w:val="22"/>
          <w:szCs w:val="22"/>
        </w:rPr>
        <w:t xml:space="preserve"> Εντάλματα προπληρωμής,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είς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άς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περιπτώσεις επιτρέπεται η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έκδοσις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τοιούτων υπό του νόμου, εκδίδονται επ' ονόματι μονίμου υπαλλήλου του δήμου. Ούτος καθίσταται υπόλογος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οφείλων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εντός της τακτής προθεσμίας να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αποδώση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λογαριασμόν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της διαχειρίσεως των ληφθέντων χρημάτων, υποβάλλων τα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κεκανονισμένα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δικαιολογητικά και επιστρέφων το μη διατεθέν ποσόν. 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Η προθεσμία αποδόσεως λογαριασμού ορίζεται δια της περί εκδόσεως του εντάλματος προπληρωμής αποφάσεως, ήτις δεν δύναται να είναι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μεγαλυτέρα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του τριμήνου και δέον να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λήγη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ένα τουλάχιστον μήνα προ της λήξεως του οικονομικού έτους. 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b/>
          <w:bCs/>
          <w:i/>
          <w:sz w:val="22"/>
          <w:szCs w:val="22"/>
        </w:rPr>
        <w:lastRenderedPageBreak/>
        <w:t>2.</w:t>
      </w:r>
      <w:r w:rsidRPr="004601C6">
        <w:rPr>
          <w:rFonts w:ascii="Arial" w:hAnsi="Arial" w:cs="Arial"/>
          <w:i/>
          <w:sz w:val="22"/>
          <w:szCs w:val="22"/>
        </w:rPr>
        <w:t xml:space="preserve"> Επί τη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ητιολογημένη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αιτήσει του υπολόγου δύναται ή κατά την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προηγουμένην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παράγραφον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προθεσμία να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παραταθή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επί ένα εισέτι μήνα εν ουδεμία όμως περιπτώσει πέραν της λήξεως του οικονομικού έτους.»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Σύμφωνα με τα άρθρα 33 και 34 του Β.Δ. 17-5/15-6-59 (ΦΕΚ 114/59 τεύχος Α') ορίζεται ότι: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«1.Απαγορεύεται η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χρησιμοποίησις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των ληφθέντων χρημάτων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δι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' εντάλματος προπληρωμής δια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δαπάνας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άλλας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ή τας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δι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'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άς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εξεδόθη η προκαταβολή. 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bCs/>
          <w:i/>
          <w:sz w:val="22"/>
          <w:szCs w:val="22"/>
        </w:rPr>
        <w:t>2.</w:t>
      </w:r>
      <w:r w:rsidRPr="004601C6">
        <w:rPr>
          <w:rFonts w:ascii="Arial" w:hAnsi="Arial" w:cs="Arial"/>
          <w:i/>
          <w:sz w:val="22"/>
          <w:szCs w:val="22"/>
        </w:rPr>
        <w:t xml:space="preserve"> Εν ουδεμία περιπτώσει επιτρέπεται η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έκδοσις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χρηματικού εντάλματος επ' ονόματι υπολόγου μη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αποδώσαντος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λογαριασμόν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επί προηγουμένου εντάλματος προπληρωμής.»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Τέλος σύμφωνα με το άρθρο 37 του Β.Δ. 17-5/15-6-59 (ΦΕΚ 114/59 τεύχος Α') ορίζεται ότι: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«Οι υπόλογοι οφείλουν ως προς την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φύλαξιν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και την εν γένει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εξασφάλισιν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των παρ’ αυτών διαχειριζομένων χρημάτων να καταβάλλουν την ην και τοις ιδίοις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επιμέλειαν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, ευθυνόμενοι δια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πάσαν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τυχόν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επερχομένην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απώλειαν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ή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μείωσιν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των χρημάτων τούτων. 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Εάν τα ποσά των ενταλμάτων δεν πρόκειται να χρησιμοποιηθούν αμέσως υπό των υπολόγων άμα τη εξοφλήσει των θα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γίνηται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κατάθεσις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αυτών ή των μη χρησιμοποιηθέντων υπολοίπων εις την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Εθνικήν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Τράπεζαν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της Ελλάδος ή εις το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Ταχυδρομικόν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Ταμιευτήριον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εφ'όσον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λειτουργούν τοιαύτα εις την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έδραν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του δήμου. Οι υπόλογοι οφείλουν κατά την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απόδοσιν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του λογαριασμού να επισυνάψουν μετά των δικαιολογητικών και το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βιβλιάριον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της καταθέσεως και αναλήψεως Τραπέζης ή του Ταχυδρομικού Ταμιευτηρίου εν τω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οποίω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θα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αναγράφωνται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κεχωρισμένως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πάσαι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αι γενόμεναι καταθέσεις και αναλήψεις.»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Με την υπ’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. 350/01-10-2024 απόφαση της Δημοτικής Επιτροπής Δήμου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εγκρίθηκε η έκδοση χρηματικού εντάλματος προπληρωμής στο όνομα του υπάλληλου του Δήμου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κ Χατζόπουλου Παρασκευά – κλάδου Π.Ε. 5 Ηλεκτρολόγων – Μηχανικών , ποσού 7.717,76€ για</w:t>
      </w:r>
      <w:r w:rsidRPr="004601C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601C6">
        <w:rPr>
          <w:rFonts w:ascii="Arial" w:hAnsi="Arial" w:cs="Arial"/>
          <w:i/>
          <w:sz w:val="22"/>
          <w:szCs w:val="22"/>
        </w:rPr>
        <w:t xml:space="preserve">πληρωμή δαπάνης ηλεκτροδότησης (8) προσωρινών τριφασικών παροχών Εμποροπανήγυρης Λιβαδειάς ισχύος 35KVA για τη σύνδεση στο δίκτυο χαμηλής τάσης σε βάρος του κάτωθι Κ.Α. του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πρ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>/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σμού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του σκέλους των εξόδων του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οικ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έτους 2024 ήτοι: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440"/>
        <w:gridCol w:w="2093"/>
        <w:gridCol w:w="2090"/>
        <w:gridCol w:w="1195"/>
        <w:gridCol w:w="2339"/>
      </w:tblGrid>
      <w:tr w:rsidR="006605C5" w:rsidRPr="004601C6" w:rsidTr="00983A0A">
        <w:tc>
          <w:tcPr>
            <w:tcW w:w="539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Α/Α</w:t>
            </w:r>
          </w:p>
        </w:tc>
        <w:tc>
          <w:tcPr>
            <w:tcW w:w="1329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Κ.Α.</w:t>
            </w:r>
          </w:p>
        </w:tc>
        <w:tc>
          <w:tcPr>
            <w:tcW w:w="1784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ΤΙΤΛΟΣ Κ.Α.</w:t>
            </w:r>
          </w:p>
        </w:tc>
        <w:tc>
          <w:tcPr>
            <w:tcW w:w="2331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ΠΕΡΙΟΧΗ</w:t>
            </w:r>
          </w:p>
        </w:tc>
        <w:tc>
          <w:tcPr>
            <w:tcW w:w="1106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ΠΟΣΟ</w:t>
            </w:r>
          </w:p>
        </w:tc>
        <w:tc>
          <w:tcPr>
            <w:tcW w:w="2153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ΠΗΓΗ ΧΡΗΜΑΤΟΔΟΤΗΣΗΣ</w:t>
            </w:r>
          </w:p>
        </w:tc>
      </w:tr>
      <w:tr w:rsidR="006605C5" w:rsidRPr="004601C6" w:rsidTr="00983A0A">
        <w:tc>
          <w:tcPr>
            <w:tcW w:w="539" w:type="dxa"/>
            <w:vMerge w:val="restart"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329" w:type="dxa"/>
            <w:vMerge w:val="restart"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30/6211.001</w:t>
            </w:r>
          </w:p>
        </w:tc>
        <w:tc>
          <w:tcPr>
            <w:tcW w:w="1784" w:type="dxa"/>
            <w:vMerge w:val="restart"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Ηλεκτροδότηση προσωρινών τριφασικών παροχών </w:t>
            </w:r>
            <w:r w:rsidRPr="004601C6">
              <w:rPr>
                <w:rFonts w:ascii="Arial" w:hAnsi="Arial" w:cs="Arial"/>
                <w:i/>
                <w:sz w:val="22"/>
                <w:szCs w:val="22"/>
              </w:rPr>
              <w:t xml:space="preserve"> Εμποροπανήγυρης Λιβαδειάς </w:t>
            </w:r>
            <w:r w:rsidRPr="004601C6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331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 xml:space="preserve">Συμβολή Ρούμελης </w:t>
            </w:r>
            <w:proofErr w:type="spellStart"/>
            <w:r w:rsidRPr="004601C6">
              <w:rPr>
                <w:rFonts w:ascii="Arial" w:hAnsi="Arial" w:cs="Arial"/>
                <w:i/>
                <w:sz w:val="22"/>
                <w:szCs w:val="22"/>
              </w:rPr>
              <w:t>Χαιρωνείας</w:t>
            </w:r>
            <w:proofErr w:type="spellEnd"/>
            <w:r w:rsidRPr="004601C6">
              <w:rPr>
                <w:rFonts w:ascii="Arial" w:hAnsi="Arial" w:cs="Arial"/>
                <w:i/>
                <w:sz w:val="22"/>
                <w:szCs w:val="22"/>
              </w:rPr>
              <w:t xml:space="preserve"> (1 παροχή)</w:t>
            </w:r>
          </w:p>
        </w:tc>
        <w:tc>
          <w:tcPr>
            <w:tcW w:w="1106" w:type="dxa"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964,72€</w:t>
            </w:r>
          </w:p>
        </w:tc>
        <w:tc>
          <w:tcPr>
            <w:tcW w:w="2153" w:type="dxa"/>
            <w:vMerge w:val="restart"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bCs/>
                <w:i/>
                <w:sz w:val="22"/>
                <w:szCs w:val="22"/>
              </w:rPr>
              <w:t>Έσοδα από παράγκες Εμποροπανήγυρης</w:t>
            </w:r>
          </w:p>
        </w:tc>
      </w:tr>
      <w:tr w:rsidR="006605C5" w:rsidRPr="004601C6" w:rsidTr="00983A0A">
        <w:tc>
          <w:tcPr>
            <w:tcW w:w="539" w:type="dxa"/>
            <w:vMerge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29" w:type="dxa"/>
            <w:vMerge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84" w:type="dxa"/>
            <w:vMerge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331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 xml:space="preserve">Επί της  </w:t>
            </w:r>
            <w:proofErr w:type="spellStart"/>
            <w:r w:rsidRPr="004601C6">
              <w:rPr>
                <w:rFonts w:ascii="Arial" w:hAnsi="Arial" w:cs="Arial"/>
                <w:i/>
                <w:sz w:val="22"/>
                <w:szCs w:val="22"/>
              </w:rPr>
              <w:t>Χαιρωνείας</w:t>
            </w:r>
            <w:proofErr w:type="spellEnd"/>
            <w:r w:rsidRPr="004601C6">
              <w:rPr>
                <w:rFonts w:ascii="Arial" w:hAnsi="Arial" w:cs="Arial"/>
                <w:i/>
                <w:sz w:val="22"/>
                <w:szCs w:val="22"/>
              </w:rPr>
              <w:t xml:space="preserve"> πλησίον οικίας </w:t>
            </w:r>
            <w:proofErr w:type="spellStart"/>
            <w:r w:rsidRPr="004601C6">
              <w:rPr>
                <w:rFonts w:ascii="Arial" w:hAnsi="Arial" w:cs="Arial"/>
                <w:i/>
                <w:sz w:val="22"/>
                <w:szCs w:val="22"/>
              </w:rPr>
              <w:t>Καραβασίλη</w:t>
            </w:r>
            <w:proofErr w:type="spellEnd"/>
            <w:r w:rsidRPr="004601C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(1 παροχή)</w:t>
            </w:r>
          </w:p>
        </w:tc>
        <w:tc>
          <w:tcPr>
            <w:tcW w:w="1106" w:type="dxa"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964,72€</w:t>
            </w:r>
          </w:p>
        </w:tc>
        <w:tc>
          <w:tcPr>
            <w:tcW w:w="2153" w:type="dxa"/>
            <w:vMerge/>
          </w:tcPr>
          <w:p w:rsidR="006605C5" w:rsidRPr="004601C6" w:rsidRDefault="006605C5" w:rsidP="00983A0A">
            <w:pPr>
              <w:spacing w:line="360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6605C5" w:rsidRPr="004601C6" w:rsidTr="00983A0A">
        <w:tc>
          <w:tcPr>
            <w:tcW w:w="539" w:type="dxa"/>
            <w:vMerge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329" w:type="dxa"/>
            <w:vMerge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84" w:type="dxa"/>
            <w:vMerge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331" w:type="dxa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 xml:space="preserve">Συμβολή οδών Ρούμελης -Διστόμου </w:t>
            </w:r>
          </w:p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(6 παροχές)</w:t>
            </w:r>
          </w:p>
        </w:tc>
        <w:tc>
          <w:tcPr>
            <w:tcW w:w="1106" w:type="dxa"/>
            <w:vAlign w:val="center"/>
          </w:tcPr>
          <w:p w:rsidR="006605C5" w:rsidRPr="004601C6" w:rsidRDefault="006605C5" w:rsidP="00983A0A">
            <w:pPr>
              <w:spacing w:line="36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601C6">
              <w:rPr>
                <w:rFonts w:ascii="Arial" w:hAnsi="Arial" w:cs="Arial"/>
                <w:i/>
                <w:sz w:val="22"/>
                <w:szCs w:val="22"/>
              </w:rPr>
              <w:t>5.788,32€</w:t>
            </w:r>
          </w:p>
        </w:tc>
        <w:tc>
          <w:tcPr>
            <w:tcW w:w="2153" w:type="dxa"/>
            <w:vMerge/>
          </w:tcPr>
          <w:p w:rsidR="006605C5" w:rsidRPr="004601C6" w:rsidRDefault="006605C5" w:rsidP="00983A0A">
            <w:pPr>
              <w:spacing w:line="360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Τέλος, στην ίδια απόφαση ορίστηκε ότι η απόδοση του λογαριασμού θα πρέπει να γίνει έως την 30/11/2024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Σε εκτέλεση τω ανωτέρω εκδόθηκε το υπ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2278/2024 Χρηματικό Ένταλμα ποσού 7.717,76€.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Δαπανήθηκε το ποσό των 7.717,76€ σύμφωνα με :</w:t>
      </w:r>
    </w:p>
    <w:p w:rsidR="006605C5" w:rsidRPr="004601C6" w:rsidRDefault="006605C5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α1) την υπ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18782/25-09-2024 (Α.Π. ΔΕΔΔΗΕ Α.Ε. 366664/25-09-2024) προσφορά για σύνδεση στο Δίκτυο Διανομής της ΔΕΔΔΗΕ Α.Ε. ( Αναγγελία προϋποθέσεων για την χορήγηση νέας τριφασικής προσωρινής παροχής Ν03 ( 35</w:t>
      </w:r>
      <w:r w:rsidRPr="004601C6">
        <w:rPr>
          <w:rFonts w:ascii="Arial" w:hAnsi="Arial" w:cs="Arial"/>
          <w:i/>
          <w:sz w:val="22"/>
          <w:szCs w:val="22"/>
          <w:lang w:val="en-US"/>
        </w:rPr>
        <w:t>KVA</w:t>
      </w:r>
      <w:r w:rsidRPr="004601C6">
        <w:rPr>
          <w:rFonts w:ascii="Arial" w:hAnsi="Arial" w:cs="Arial"/>
          <w:i/>
          <w:sz w:val="22"/>
          <w:szCs w:val="22"/>
        </w:rPr>
        <w:t xml:space="preserve">) με αριθμό παροχής </w:t>
      </w:r>
      <w:r w:rsidRPr="004601C6">
        <w:rPr>
          <w:rFonts w:ascii="Arial" w:hAnsi="Arial" w:cs="Arial"/>
          <w:b/>
          <w:bCs/>
          <w:i/>
          <w:sz w:val="22"/>
          <w:szCs w:val="22"/>
        </w:rPr>
        <w:t>42554477</w:t>
      </w:r>
      <w:r w:rsidRPr="004601C6">
        <w:rPr>
          <w:rFonts w:ascii="Arial" w:hAnsi="Arial" w:cs="Arial"/>
          <w:i/>
          <w:sz w:val="22"/>
          <w:szCs w:val="22"/>
        </w:rPr>
        <w:t xml:space="preserve"> για τη σύνδεση στο δίκτυο χαμηλής τάσης της εγκατάστασης στη διεύθυνση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Χαιρωνείας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>) σύμφωνα με την οποία πρέπει να καταβληθεί υπέρ της ΔΕΔΔΗΕ Α.Ε το ποσό των 964,72€.</w:t>
      </w:r>
    </w:p>
    <w:p w:rsidR="006605C5" w:rsidRPr="004601C6" w:rsidRDefault="006605C5" w:rsidP="006605C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α2) την Απόδειξη Συναλλαγής Πληρωμής με Κωδικό </w:t>
      </w:r>
      <w:r w:rsidRPr="004601C6">
        <w:rPr>
          <w:rFonts w:ascii="Arial" w:hAnsi="Arial" w:cs="Arial"/>
          <w:i/>
          <w:sz w:val="22"/>
          <w:szCs w:val="22"/>
          <w:lang w:val="en-US"/>
        </w:rPr>
        <w:t>RF</w:t>
      </w:r>
      <w:r w:rsidRPr="004601C6">
        <w:rPr>
          <w:rFonts w:ascii="Arial" w:hAnsi="Arial" w:cs="Arial"/>
          <w:i/>
          <w:sz w:val="22"/>
          <w:szCs w:val="22"/>
        </w:rPr>
        <w:t xml:space="preserve"> 93908208000044255447701 της Τράπεζας Αττικής με κωδικό αναφοράς συναλλαγής FT2428371067/09-10-2024</w:t>
      </w:r>
    </w:p>
    <w:p w:rsidR="006605C5" w:rsidRPr="004601C6" w:rsidRDefault="006605C5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α3) το υπ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Β 0044623/11-10-2024 τιμολόγιο παροχής υπηρεσιών της ΔΕΔΔΗΕ Α.Ε. , ποσού 964,72€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συμπ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>/νου του ΦΠΑ 24%</w:t>
      </w:r>
    </w:p>
    <w:p w:rsidR="006605C5" w:rsidRPr="004601C6" w:rsidRDefault="006605C5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β1) την υπ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18780/25-09-2024 (Α.Π. ΔΕΔΔΗΕ Α.Ε. 366718/25-09-2024) προσφορά για σύνδεση στο Δίκτυο Διανομής της ΔΕΔΔΗΕ Α.Ε. ( Αναγγελία προϋποθέσεων για την χορήγηση νέας τριφασικής προσωρινής παροχής Ν03 ( 35</w:t>
      </w:r>
      <w:r w:rsidRPr="004601C6">
        <w:rPr>
          <w:rFonts w:ascii="Arial" w:hAnsi="Arial" w:cs="Arial"/>
          <w:i/>
          <w:sz w:val="22"/>
          <w:szCs w:val="22"/>
          <w:lang w:val="en-US"/>
        </w:rPr>
        <w:t>KVA</w:t>
      </w:r>
      <w:r w:rsidRPr="004601C6">
        <w:rPr>
          <w:rFonts w:ascii="Arial" w:hAnsi="Arial" w:cs="Arial"/>
          <w:i/>
          <w:sz w:val="22"/>
          <w:szCs w:val="22"/>
        </w:rPr>
        <w:t xml:space="preserve">) με αριθμό παροχής </w:t>
      </w:r>
      <w:r w:rsidRPr="004601C6">
        <w:rPr>
          <w:rFonts w:ascii="Arial" w:hAnsi="Arial" w:cs="Arial"/>
          <w:b/>
          <w:bCs/>
          <w:i/>
          <w:sz w:val="22"/>
          <w:szCs w:val="22"/>
        </w:rPr>
        <w:t>42554478</w:t>
      </w:r>
      <w:r w:rsidRPr="004601C6">
        <w:rPr>
          <w:rFonts w:ascii="Arial" w:hAnsi="Arial" w:cs="Arial"/>
          <w:i/>
          <w:sz w:val="22"/>
          <w:szCs w:val="22"/>
        </w:rPr>
        <w:t xml:space="preserve"> για τη σύνδεση στο δίκτυο χαμηλής τάσης της εγκατάστασης στη διεύθυνση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Χαιρωνείας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>) σύμφωνα με την οποία πρέπει να καταβληθεί υπέρ της ΔΕΔΔΗΕ Α.Ε το ποσό των 964,72€.</w:t>
      </w:r>
    </w:p>
    <w:p w:rsidR="006605C5" w:rsidRPr="004601C6" w:rsidRDefault="006605C5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β2) την Απόδειξη Συναλλαγής Πληρωμής με Κωδικό </w:t>
      </w:r>
      <w:r w:rsidRPr="004601C6">
        <w:rPr>
          <w:rFonts w:ascii="Arial" w:hAnsi="Arial" w:cs="Arial"/>
          <w:i/>
          <w:sz w:val="22"/>
          <w:szCs w:val="22"/>
          <w:lang w:val="en-US"/>
        </w:rPr>
        <w:t>RF</w:t>
      </w:r>
      <w:r w:rsidRPr="004601C6">
        <w:rPr>
          <w:rFonts w:ascii="Arial" w:hAnsi="Arial" w:cs="Arial"/>
          <w:i/>
          <w:sz w:val="22"/>
          <w:szCs w:val="22"/>
        </w:rPr>
        <w:t xml:space="preserve"> 12908208000044255447801 της Τράπεζας Αττικής με κωδικό αναφοράς συναλλαγής FT2428302695/09-10-2024 </w:t>
      </w:r>
    </w:p>
    <w:p w:rsidR="006605C5" w:rsidRPr="004601C6" w:rsidRDefault="006605C5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β3)</w:t>
      </w:r>
      <w:r w:rsidRPr="004601C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4601C6">
        <w:rPr>
          <w:rFonts w:ascii="Arial" w:hAnsi="Arial" w:cs="Arial"/>
          <w:i/>
          <w:sz w:val="22"/>
          <w:szCs w:val="22"/>
        </w:rPr>
        <w:t xml:space="preserve">το υπ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Β 0044632/11-10-2024 τιμολόγιο παροχής υπηρεσιών της ΔΕΔΔΗΕ Α.Ε. , ποσού 964,72€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συμπ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>/νου του ΦΠΑ 24%.</w:t>
      </w:r>
    </w:p>
    <w:p w:rsidR="006605C5" w:rsidRPr="004601C6" w:rsidRDefault="006605C5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γ1) την υπ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18783/25-09-2024 (Α.Π. ΔΕΔΔΗΕ Α.Ε. 366636/25-09-2024) προσφορά για σύνδεση στο Δίκτυο Διανομής της ΔΕΔΔΗΕ Α.Ε. ( Αναγγελία προϋποθέσεων για την χορήγηση 6 νέων  τριφασικών προσωρινών παροχών Ν03 ( 35</w:t>
      </w:r>
      <w:r w:rsidRPr="004601C6">
        <w:rPr>
          <w:rFonts w:ascii="Arial" w:hAnsi="Arial" w:cs="Arial"/>
          <w:i/>
          <w:sz w:val="22"/>
          <w:szCs w:val="22"/>
          <w:lang w:val="en-US"/>
        </w:rPr>
        <w:t>KVA</w:t>
      </w:r>
      <w:r w:rsidRPr="004601C6">
        <w:rPr>
          <w:rFonts w:ascii="Arial" w:hAnsi="Arial" w:cs="Arial"/>
          <w:i/>
          <w:sz w:val="22"/>
          <w:szCs w:val="22"/>
        </w:rPr>
        <w:t xml:space="preserve">) με αριθμό </w:t>
      </w:r>
      <w:r w:rsidRPr="004601C6">
        <w:rPr>
          <w:rFonts w:ascii="Arial" w:hAnsi="Arial" w:cs="Arial"/>
          <w:b/>
          <w:bCs/>
          <w:i/>
          <w:sz w:val="22"/>
          <w:szCs w:val="22"/>
        </w:rPr>
        <w:t>Σ4022679-01</w:t>
      </w:r>
      <w:r w:rsidRPr="004601C6">
        <w:rPr>
          <w:rFonts w:ascii="Arial" w:hAnsi="Arial" w:cs="Arial"/>
          <w:i/>
          <w:sz w:val="22"/>
          <w:szCs w:val="22"/>
        </w:rPr>
        <w:t xml:space="preserve"> για τη σύνδεση στο δίκτυο χαμηλής τάσης της εγκατάστασης στη διεύθυνση Ρούμελης και Διστόμου) σύμφωνα με την οποία πρέπει να καταβληθεί υπέρ της ΔΕΔΔΗΕ Α.Ε το ποσό των 5.788,32€.</w:t>
      </w:r>
    </w:p>
    <w:p w:rsidR="006605C5" w:rsidRPr="004601C6" w:rsidRDefault="006605C5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γ2) Απόδειξη Συναλλαγής Πληρωμής με Κωδικό </w:t>
      </w:r>
      <w:r w:rsidRPr="004601C6">
        <w:rPr>
          <w:rFonts w:ascii="Arial" w:hAnsi="Arial" w:cs="Arial"/>
          <w:i/>
          <w:sz w:val="22"/>
          <w:szCs w:val="22"/>
          <w:lang w:val="en-US"/>
        </w:rPr>
        <w:t>RF</w:t>
      </w:r>
      <w:r w:rsidRPr="004601C6">
        <w:rPr>
          <w:rFonts w:ascii="Arial" w:hAnsi="Arial" w:cs="Arial"/>
          <w:i/>
          <w:sz w:val="22"/>
          <w:szCs w:val="22"/>
        </w:rPr>
        <w:t xml:space="preserve"> 07908208000140402267901 της Τράπεζας Αττικής με κωδικό αναφοράς συναλλαγής FT2428344607/09-10-2024 </w:t>
      </w:r>
    </w:p>
    <w:p w:rsidR="006605C5" w:rsidRDefault="006605C5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γ3) το υπ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Β 0044626/11-10-2024 τιμολόγιο παροχής υπηρεσιών της ΔΕΔΔΗΕ Α.Ε. , ποσού 5.788,32€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συμπ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>/νου του ΦΠΑ 24% .</w:t>
      </w:r>
    </w:p>
    <w:p w:rsidR="00DB40B8" w:rsidRPr="004601C6" w:rsidRDefault="00DB40B8" w:rsidP="006605C5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lastRenderedPageBreak/>
        <w:t xml:space="preserve">Λαμβάνοντας υπόψη τα ανωτέρω καθώς και </w:t>
      </w:r>
    </w:p>
    <w:p w:rsidR="006605C5" w:rsidRPr="004601C6" w:rsidRDefault="006605C5" w:rsidP="006605C5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τα άρθρα 32,33,34 και 37 του Β.Δ. 17-5/15-6-59 (ΦΕΚ 114/59 τεύχος Α')</w:t>
      </w:r>
    </w:p>
    <w:p w:rsidR="006605C5" w:rsidRPr="004601C6" w:rsidRDefault="006605C5" w:rsidP="006605C5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Τις διατάξεις του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άρθ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172 του Ν. 3463/2006</w:t>
      </w:r>
    </w:p>
    <w:p w:rsidR="006605C5" w:rsidRPr="004601C6" w:rsidRDefault="006605C5" w:rsidP="006605C5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4601C6">
        <w:rPr>
          <w:rFonts w:ascii="Arial" w:hAnsi="Arial" w:cs="Arial"/>
          <w:i/>
          <w:sz w:val="22"/>
          <w:szCs w:val="22"/>
        </w:rPr>
        <w:t>άρθ</w:t>
      </w:r>
      <w:proofErr w:type="spellEnd"/>
      <w:r w:rsidRPr="004601C6">
        <w:rPr>
          <w:rFonts w:ascii="Arial" w:hAnsi="Arial" w:cs="Arial"/>
          <w:i/>
          <w:sz w:val="22"/>
          <w:szCs w:val="22"/>
        </w:rPr>
        <w:t xml:space="preserve"> 72 του Ν. 3852/2010</w:t>
      </w:r>
    </w:p>
    <w:p w:rsidR="006605C5" w:rsidRPr="004601C6" w:rsidRDefault="006605C5" w:rsidP="006605C5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 xml:space="preserve">τα δικαιολογητικά τα οποία κατέθεσα για την απόδοση του λογαριασμού 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6605C5" w:rsidRPr="004601C6" w:rsidRDefault="006605C5" w:rsidP="006605C5">
      <w:pPr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b/>
          <w:i/>
          <w:sz w:val="22"/>
          <w:szCs w:val="22"/>
        </w:rPr>
        <w:t xml:space="preserve">Καλείται η Δημοτική Επιτροπή </w:t>
      </w:r>
    </w:p>
    <w:p w:rsidR="006605C5" w:rsidRPr="004601C6" w:rsidRDefault="006605C5" w:rsidP="006605C5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1. Να εγκρίνει την απόδοση λογαριασμού μαζί με τα σχετικά δικαιολογητικά  τα οποία επισυνάπτονται και αποτελούν αναπόσπαστο μέρος της παρούσας απόφασης</w:t>
      </w:r>
    </w:p>
    <w:p w:rsidR="006605C5" w:rsidRPr="004601C6" w:rsidRDefault="006605C5" w:rsidP="006605C5">
      <w:pPr>
        <w:spacing w:line="360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601C6">
        <w:rPr>
          <w:rFonts w:ascii="Arial" w:hAnsi="Arial" w:cs="Arial"/>
          <w:i/>
          <w:sz w:val="22"/>
          <w:szCs w:val="22"/>
        </w:rPr>
        <w:t>2. Να απαλλάξει τον  Χατζόπουλο</w:t>
      </w:r>
      <w:r w:rsidR="004601C6">
        <w:rPr>
          <w:rFonts w:ascii="Arial" w:hAnsi="Arial" w:cs="Arial"/>
          <w:i/>
          <w:sz w:val="22"/>
          <w:szCs w:val="22"/>
        </w:rPr>
        <w:t xml:space="preserve"> </w:t>
      </w:r>
      <w:r w:rsidRPr="004601C6">
        <w:rPr>
          <w:rFonts w:ascii="Arial" w:hAnsi="Arial" w:cs="Arial"/>
          <w:i/>
          <w:sz w:val="22"/>
          <w:szCs w:val="22"/>
        </w:rPr>
        <w:t xml:space="preserve"> Παρασκευά  από υπόλογο του ποσού των 7.717,76€ το οποίο είχε διατεθεί για πληρωμή δαπάνης «για την πληρωμή</w:t>
      </w:r>
      <w:r w:rsidRPr="004601C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601C6">
        <w:rPr>
          <w:rFonts w:ascii="Arial" w:hAnsi="Arial" w:cs="Arial"/>
          <w:i/>
          <w:sz w:val="22"/>
          <w:szCs w:val="22"/>
        </w:rPr>
        <w:t>(8) προσωρινών τριφασικών παροχών Εμποροπανήγυρης Λιβαδειάς»</w:t>
      </w:r>
      <w:r w:rsidRPr="004601C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601C6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28316C" w:rsidRPr="00120651" w:rsidRDefault="0028316C" w:rsidP="0028316C">
      <w:pPr>
        <w:pStyle w:val="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  Στη συνέχεια ο Πρόεδρος κάλεσε τα μέλη να αποφασίσουν σχετικά.</w:t>
      </w:r>
    </w:p>
    <w:p w:rsidR="0028316C" w:rsidRPr="00120651" w:rsidRDefault="0028316C" w:rsidP="0028316C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605C5" w:rsidRDefault="006605C5" w:rsidP="006605C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6605C5" w:rsidRDefault="006605C5" w:rsidP="006605C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605C5" w:rsidRPr="009F3590" w:rsidRDefault="006605C5" w:rsidP="006605C5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6605C5" w:rsidRPr="009F3590" w:rsidRDefault="006605C5" w:rsidP="006605C5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6605C5" w:rsidRPr="009F3590" w:rsidRDefault="006605C5" w:rsidP="006605C5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>
        <w:rPr>
          <w:rFonts w:ascii="Arial" w:hAnsi="Arial" w:cs="Arial"/>
          <w:sz w:val="22"/>
          <w:szCs w:val="22"/>
        </w:rPr>
        <w:t>3</w:t>
      </w:r>
      <w:r w:rsidR="004601C6">
        <w:rPr>
          <w:rFonts w:ascii="Arial" w:hAnsi="Arial" w:cs="Arial"/>
          <w:sz w:val="22"/>
          <w:szCs w:val="22"/>
        </w:rPr>
        <w:t>50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6605C5" w:rsidRDefault="006605C5" w:rsidP="006605C5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Verdana" w:hAnsi="Arial" w:cs="Arial"/>
          <w:sz w:val="22"/>
          <w:szCs w:val="22"/>
        </w:rPr>
        <w:t>2</w:t>
      </w:r>
      <w:r w:rsidR="004601C6">
        <w:rPr>
          <w:rFonts w:ascii="Arial" w:eastAsia="Verdana" w:hAnsi="Arial" w:cs="Arial"/>
          <w:sz w:val="22"/>
          <w:szCs w:val="22"/>
        </w:rPr>
        <w:t>276</w:t>
      </w:r>
      <w:r>
        <w:rPr>
          <w:rFonts w:ascii="Arial" w:eastAsia="SimSun" w:hAnsi="Arial" w:cs="Arial"/>
          <w:sz w:val="22"/>
          <w:szCs w:val="22"/>
          <w:highlight w:val="white"/>
        </w:rPr>
        <w:t>/2024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6605C5" w:rsidRPr="009F3590" w:rsidRDefault="006605C5" w:rsidP="006605C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</w:t>
      </w:r>
      <w:r w:rsidR="004601C6">
        <w:rPr>
          <w:rFonts w:ascii="Arial" w:hAnsi="Arial" w:cs="Arial"/>
          <w:sz w:val="22"/>
          <w:szCs w:val="22"/>
        </w:rPr>
        <w:t>2128</w:t>
      </w:r>
      <w:r w:rsidR="00CB188A">
        <w:rPr>
          <w:rFonts w:ascii="Arial" w:hAnsi="Arial" w:cs="Arial"/>
          <w:sz w:val="22"/>
          <w:szCs w:val="22"/>
        </w:rPr>
        <w:t>/</w:t>
      </w:r>
      <w:r w:rsidR="004601C6">
        <w:rPr>
          <w:rFonts w:ascii="Arial" w:eastAsia="Arial" w:hAnsi="Arial" w:cs="Arial"/>
          <w:sz w:val="22"/>
          <w:szCs w:val="22"/>
        </w:rPr>
        <w:t>01</w:t>
      </w:r>
      <w:r w:rsidRPr="009F3590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 w:rsidR="004601C6">
        <w:rPr>
          <w:rFonts w:ascii="Arial" w:eastAsia="Arial" w:hAnsi="Arial" w:cs="Arial"/>
          <w:sz w:val="22"/>
          <w:szCs w:val="22"/>
        </w:rPr>
        <w:t>1</w:t>
      </w:r>
      <w:r w:rsidRPr="009F3590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4</w:t>
      </w:r>
      <w:r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>
        <w:rPr>
          <w:rFonts w:ascii="Arial" w:hAnsi="Arial" w:cs="Arial"/>
          <w:sz w:val="22"/>
          <w:szCs w:val="22"/>
        </w:rPr>
        <w:t>ο</w:t>
      </w:r>
      <w:r w:rsidRPr="009F3590">
        <w:rPr>
          <w:rFonts w:ascii="Arial" w:hAnsi="Arial" w:cs="Arial"/>
          <w:sz w:val="22"/>
          <w:szCs w:val="22"/>
        </w:rPr>
        <w:t xml:space="preserve"> υπόλογος   δημοτικ</w:t>
      </w:r>
      <w:r>
        <w:rPr>
          <w:rFonts w:ascii="Arial" w:hAnsi="Arial" w:cs="Arial"/>
          <w:sz w:val="22"/>
          <w:szCs w:val="22"/>
        </w:rPr>
        <w:t xml:space="preserve">ός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 xml:space="preserve">κ. </w:t>
      </w:r>
      <w:r w:rsidR="004601C6">
        <w:rPr>
          <w:rFonts w:ascii="Arial" w:hAnsi="Arial" w:cs="Arial"/>
          <w:sz w:val="22"/>
          <w:szCs w:val="22"/>
        </w:rPr>
        <w:t>Χατζόπουλος Παρασκευάς</w:t>
      </w:r>
      <w:r w:rsidRPr="009F3590">
        <w:rPr>
          <w:rFonts w:ascii="Arial" w:hAnsi="Arial" w:cs="Arial"/>
          <w:sz w:val="22"/>
          <w:szCs w:val="22"/>
        </w:rPr>
        <w:t xml:space="preserve">   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6605C5" w:rsidRPr="009F3590" w:rsidRDefault="006605C5" w:rsidP="006605C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605C5" w:rsidRPr="009F3590" w:rsidRDefault="006605C5" w:rsidP="006605C5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6605C5" w:rsidRPr="009F3590" w:rsidRDefault="006605C5" w:rsidP="006605C5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605C5" w:rsidRPr="009F3590" w:rsidRDefault="006605C5" w:rsidP="006605C5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6605C5" w:rsidRPr="009F3590" w:rsidRDefault="006605C5" w:rsidP="006605C5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6605C5" w:rsidRPr="009F3590" w:rsidRDefault="006605C5" w:rsidP="006605C5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6605C5" w:rsidRPr="009F3D37" w:rsidRDefault="006605C5" w:rsidP="006605C5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9F3D37">
        <w:rPr>
          <w:rFonts w:ascii="Arial" w:hAnsi="Arial" w:cs="Arial"/>
          <w:sz w:val="22"/>
          <w:szCs w:val="22"/>
        </w:rPr>
        <w:t xml:space="preserve">   Α)Εγκρίνει την απόδοση λογαριασμού έτσι όπως υποβλήθηκε  με  το  αριθ. </w:t>
      </w:r>
      <w:proofErr w:type="spellStart"/>
      <w:r w:rsidRPr="009F3D37"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>. 2</w:t>
      </w:r>
      <w:r w:rsidR="00DC5469">
        <w:rPr>
          <w:rFonts w:ascii="Arial" w:hAnsi="Arial" w:cs="Arial"/>
          <w:sz w:val="22"/>
          <w:szCs w:val="22"/>
        </w:rPr>
        <w:t>2128</w:t>
      </w:r>
      <w:r w:rsidRPr="009F3590">
        <w:rPr>
          <w:rFonts w:ascii="Arial" w:eastAsia="Arial" w:hAnsi="Arial" w:cs="Arial"/>
          <w:sz w:val="22"/>
          <w:szCs w:val="22"/>
        </w:rPr>
        <w:t>/</w:t>
      </w:r>
      <w:r w:rsidR="00DC5469">
        <w:rPr>
          <w:rFonts w:ascii="Arial" w:eastAsia="Arial" w:hAnsi="Arial" w:cs="Arial"/>
          <w:sz w:val="22"/>
          <w:szCs w:val="22"/>
        </w:rPr>
        <w:t>01-</w:t>
      </w:r>
      <w:r>
        <w:rPr>
          <w:rFonts w:ascii="Arial" w:eastAsia="Arial" w:hAnsi="Arial" w:cs="Arial"/>
          <w:sz w:val="22"/>
          <w:szCs w:val="22"/>
        </w:rPr>
        <w:t>1</w:t>
      </w:r>
      <w:r w:rsidR="00DC5469">
        <w:rPr>
          <w:rFonts w:ascii="Arial" w:eastAsia="Arial" w:hAnsi="Arial" w:cs="Arial"/>
          <w:sz w:val="22"/>
          <w:szCs w:val="22"/>
        </w:rPr>
        <w:t>1</w:t>
      </w:r>
      <w:r w:rsidRPr="009F3590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4</w:t>
      </w:r>
      <w:r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D37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έγγραφο </w:t>
      </w:r>
      <w:r w:rsidRPr="009F3D37">
        <w:rPr>
          <w:rFonts w:ascii="Arial" w:hAnsi="Arial" w:cs="Arial"/>
          <w:sz w:val="22"/>
          <w:szCs w:val="22"/>
        </w:rPr>
        <w:t xml:space="preserve">  από τον  υπόλογο  δημοτικό   υπάλληλο  κ. </w:t>
      </w:r>
      <w:r w:rsidR="00DB40B8" w:rsidRPr="00CB188A">
        <w:rPr>
          <w:rFonts w:ascii="Arial" w:hAnsi="Arial" w:cs="Arial"/>
          <w:sz w:val="22"/>
          <w:szCs w:val="22"/>
        </w:rPr>
        <w:t>Χατζόπουλο  Παρασκευά</w:t>
      </w:r>
      <w:r w:rsidR="00DB40B8" w:rsidRPr="004601C6">
        <w:rPr>
          <w:rFonts w:ascii="Arial" w:hAnsi="Arial" w:cs="Arial"/>
          <w:i/>
          <w:sz w:val="22"/>
          <w:szCs w:val="22"/>
        </w:rPr>
        <w:t xml:space="preserve">  </w:t>
      </w:r>
      <w:r w:rsidRPr="009F3D37">
        <w:rPr>
          <w:rFonts w:ascii="Arial" w:hAnsi="Arial" w:cs="Arial"/>
          <w:sz w:val="22"/>
          <w:szCs w:val="22"/>
        </w:rPr>
        <w:t xml:space="preserve">μαζί με τα συνημμένα  δικαιολογητικά.    </w:t>
      </w:r>
    </w:p>
    <w:p w:rsidR="006605C5" w:rsidRPr="009F3D37" w:rsidRDefault="006605C5" w:rsidP="006605C5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9F3D37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3D26A1" w:rsidRPr="003D26A1" w:rsidRDefault="006605C5" w:rsidP="003D26A1">
      <w:pPr>
        <w:jc w:val="both"/>
        <w:rPr>
          <w:rFonts w:ascii="Arial" w:hAnsi="Arial" w:cs="Arial"/>
          <w:sz w:val="22"/>
          <w:szCs w:val="22"/>
          <w:lang w:eastAsia="el-GR"/>
        </w:rPr>
      </w:pPr>
      <w:r w:rsidRPr="003D26A1">
        <w:rPr>
          <w:rFonts w:ascii="Arial" w:hAnsi="Arial" w:cs="Arial"/>
          <w:sz w:val="22"/>
          <w:szCs w:val="22"/>
        </w:rPr>
        <w:t xml:space="preserve">Β)Απαλλάσσει τον δημοτικό  υπάλληλο  κ. </w:t>
      </w:r>
      <w:r w:rsidR="00DC5469" w:rsidRPr="003D26A1">
        <w:rPr>
          <w:rFonts w:ascii="Arial" w:hAnsi="Arial" w:cs="Arial"/>
          <w:sz w:val="22"/>
          <w:szCs w:val="22"/>
        </w:rPr>
        <w:t xml:space="preserve"> Χατζόπουλο  Παρασκευά  </w:t>
      </w:r>
      <w:r w:rsidRPr="003D26A1">
        <w:rPr>
          <w:rFonts w:ascii="Arial" w:hAnsi="Arial" w:cs="Arial"/>
          <w:sz w:val="22"/>
          <w:szCs w:val="22"/>
        </w:rPr>
        <w:t xml:space="preserve">από υπόλογο  του </w:t>
      </w:r>
      <w:proofErr w:type="spellStart"/>
      <w:r w:rsidRPr="003D26A1">
        <w:rPr>
          <w:rFonts w:ascii="Arial" w:hAnsi="Arial" w:cs="Arial"/>
          <w:sz w:val="22"/>
          <w:szCs w:val="22"/>
        </w:rPr>
        <w:t>υπ΄αριθμ</w:t>
      </w:r>
      <w:proofErr w:type="spellEnd"/>
      <w:r w:rsidRPr="003D26A1">
        <w:rPr>
          <w:rFonts w:ascii="Arial" w:hAnsi="Arial" w:cs="Arial"/>
          <w:sz w:val="22"/>
          <w:szCs w:val="22"/>
        </w:rPr>
        <w:t>. 2</w:t>
      </w:r>
      <w:r w:rsidR="00DC5469" w:rsidRPr="003D26A1">
        <w:rPr>
          <w:rFonts w:ascii="Arial" w:hAnsi="Arial" w:cs="Arial"/>
          <w:sz w:val="22"/>
          <w:szCs w:val="22"/>
        </w:rPr>
        <w:t>278</w:t>
      </w:r>
      <w:r w:rsidRPr="003D26A1">
        <w:rPr>
          <w:rFonts w:ascii="Arial" w:eastAsia="SimSun" w:hAnsi="Arial" w:cs="Arial"/>
          <w:sz w:val="22"/>
          <w:szCs w:val="22"/>
          <w:highlight w:val="white"/>
        </w:rPr>
        <w:t xml:space="preserve">/2024 </w:t>
      </w:r>
      <w:r w:rsidRPr="003D26A1">
        <w:rPr>
          <w:rFonts w:ascii="Arial" w:hAnsi="Arial" w:cs="Arial"/>
          <w:sz w:val="22"/>
          <w:szCs w:val="22"/>
        </w:rPr>
        <w:t xml:space="preserve">χρηματικού εντάλματος προπληρωμής ποσού  </w:t>
      </w:r>
      <w:r w:rsidR="00DC5469" w:rsidRPr="003D26A1">
        <w:rPr>
          <w:rFonts w:ascii="Arial" w:hAnsi="Arial" w:cs="Arial"/>
          <w:sz w:val="22"/>
          <w:szCs w:val="22"/>
        </w:rPr>
        <w:t>ΕΠΤΑ ΧΙΛΙΑΔΩΝ ΕΠΤΑΚΟΣΙΩΝ ΔΕΚΑΕΠΤΑ</w:t>
      </w:r>
      <w:r w:rsidRPr="003D26A1">
        <w:rPr>
          <w:rFonts w:ascii="Arial" w:hAnsi="Arial" w:cs="Arial"/>
          <w:sz w:val="22"/>
          <w:szCs w:val="22"/>
        </w:rPr>
        <w:t xml:space="preserve"> ΕΥΡΩ  &amp;  Ε</w:t>
      </w:r>
      <w:r w:rsidR="00DC5469" w:rsidRPr="003D26A1">
        <w:rPr>
          <w:rFonts w:ascii="Arial" w:hAnsi="Arial" w:cs="Arial"/>
          <w:sz w:val="22"/>
          <w:szCs w:val="22"/>
        </w:rPr>
        <w:t>ΒΔΟΜΗΝΤΑ ΕΞΙ</w:t>
      </w:r>
      <w:r w:rsidRPr="003D26A1">
        <w:rPr>
          <w:rFonts w:ascii="Arial" w:hAnsi="Arial" w:cs="Arial"/>
          <w:sz w:val="22"/>
          <w:szCs w:val="22"/>
        </w:rPr>
        <w:t xml:space="preserve">   ΛΕΠΤΩΝ (</w:t>
      </w:r>
      <w:r w:rsidR="00DC5469" w:rsidRPr="003D26A1">
        <w:rPr>
          <w:rFonts w:ascii="Arial" w:hAnsi="Arial" w:cs="Arial"/>
          <w:sz w:val="22"/>
          <w:szCs w:val="22"/>
        </w:rPr>
        <w:t xml:space="preserve">7.717,76€ ) </w:t>
      </w:r>
      <w:r w:rsidRPr="003D26A1">
        <w:rPr>
          <w:rFonts w:ascii="Arial" w:hAnsi="Arial" w:cs="Arial"/>
          <w:bCs/>
          <w:sz w:val="22"/>
          <w:szCs w:val="22"/>
        </w:rPr>
        <w:t>ο</w:t>
      </w:r>
      <w:r w:rsidRPr="003D26A1">
        <w:rPr>
          <w:rFonts w:ascii="Arial" w:hAnsi="Arial" w:cs="Arial"/>
          <w:sz w:val="22"/>
          <w:szCs w:val="22"/>
        </w:rPr>
        <w:t xml:space="preserve"> οποίος </w:t>
      </w:r>
      <w:r w:rsidRPr="003D26A1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="003D26A1" w:rsidRPr="003D26A1">
        <w:rPr>
          <w:rFonts w:ascii="Arial" w:hAnsi="Arial" w:cs="Arial"/>
          <w:sz w:val="22"/>
          <w:szCs w:val="22"/>
          <w:lang w:eastAsia="el-GR"/>
        </w:rPr>
        <w:t>για πληρωμή δαπάνης ηλεκτροδότησης (8) προσωρινών τριφασικών παροχών Εμποροπανήγυρης Λιβαδειάς.</w:t>
      </w:r>
    </w:p>
    <w:p w:rsidR="00DC5469" w:rsidRPr="003D26A1" w:rsidRDefault="00DC5469" w:rsidP="00DC546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26A1">
        <w:rPr>
          <w:rFonts w:ascii="Arial" w:hAnsi="Arial" w:cs="Arial"/>
          <w:bCs/>
          <w:sz w:val="22"/>
          <w:szCs w:val="22"/>
        </w:rPr>
        <w:t>.</w:t>
      </w:r>
    </w:p>
    <w:p w:rsidR="006605C5" w:rsidRPr="000F3B45" w:rsidRDefault="006605C5" w:rsidP="006605C5">
      <w:pPr>
        <w:contextualSpacing/>
        <w:jc w:val="both"/>
        <w:rPr>
          <w:rFonts w:eastAsia="Verdana"/>
          <w:lang w:bidi="hi-IN"/>
        </w:rPr>
      </w:pPr>
    </w:p>
    <w:p w:rsidR="00B43212" w:rsidRPr="00256579" w:rsidRDefault="00B43212" w:rsidP="00B43212">
      <w:pPr>
        <w:tabs>
          <w:tab w:val="left" w:pos="0"/>
          <w:tab w:val="left" w:pos="6237"/>
        </w:tabs>
        <w:ind w:left="142" w:firstLine="142"/>
        <w:rPr>
          <w:rFonts w:asciiTheme="minorHAnsi" w:hAnsiTheme="minorHAnsi" w:cstheme="minorHAnsi"/>
          <w:sz w:val="22"/>
          <w:szCs w:val="22"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>.</w:t>
      </w:r>
      <w:r w:rsidRPr="00120651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Pr="00120651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120651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>
        <w:rPr>
          <w:rFonts w:ascii="Arial" w:hAnsi="Arial" w:cs="Arial"/>
          <w:b/>
          <w:sz w:val="22"/>
          <w:szCs w:val="22"/>
        </w:rPr>
        <w:t>40</w:t>
      </w:r>
      <w:r w:rsidR="006605C5">
        <w:rPr>
          <w:rFonts w:ascii="Arial" w:hAnsi="Arial" w:cs="Arial"/>
          <w:b/>
          <w:sz w:val="22"/>
          <w:szCs w:val="22"/>
        </w:rPr>
        <w:t>4</w:t>
      </w:r>
      <w:r w:rsidR="000E4DBE">
        <w:rPr>
          <w:rFonts w:ascii="Arial" w:hAnsi="Arial" w:cs="Arial"/>
          <w:b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 xml:space="preserve">/2024.  </w:t>
      </w: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 xml:space="preserve">             Ο </w:t>
      </w:r>
      <w:r w:rsidRPr="00120651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ΠΡΟΕΔΡΟΣ</w:t>
      </w: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120651">
        <w:rPr>
          <w:rFonts w:ascii="Arial" w:hAnsi="Arial" w:cs="Arial"/>
          <w:b/>
          <w:sz w:val="22"/>
          <w:szCs w:val="22"/>
        </w:rPr>
        <w:t>ΤΑ ΜΕΛΗ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2 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BC102B">
        <w:rPr>
          <w:rFonts w:ascii="Arial" w:eastAsia="Arial" w:hAnsi="Arial" w:cs="Arial"/>
          <w:sz w:val="22"/>
          <w:szCs w:val="22"/>
        </w:rPr>
        <w:t>ΠΙΣΤΟ</w:t>
      </w:r>
      <w:r w:rsidRPr="00BC102B">
        <w:rPr>
          <w:rFonts w:ascii="Arial" w:hAnsi="Arial" w:cs="Arial"/>
          <w:sz w:val="22"/>
          <w:szCs w:val="22"/>
        </w:rPr>
        <w:t xml:space="preserve"> ΑΠΟΣΠΑΣΜΑ      </w:t>
      </w: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>
        <w:rPr>
          <w:rFonts w:ascii="Arial" w:hAnsi="Arial" w:cs="Arial"/>
          <w:sz w:val="22"/>
          <w:szCs w:val="22"/>
        </w:rPr>
        <w:t>0</w:t>
      </w:r>
      <w:r w:rsidR="00B43212">
        <w:rPr>
          <w:rFonts w:ascii="Arial" w:hAnsi="Arial" w:cs="Arial"/>
          <w:sz w:val="22"/>
          <w:szCs w:val="22"/>
        </w:rPr>
        <w:t>7</w:t>
      </w:r>
      <w:r w:rsidRPr="00BC102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>-2024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</w:t>
      </w: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8316C" w:rsidRPr="00BC102B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BC102B">
        <w:rPr>
          <w:rFonts w:ascii="Arial" w:hAnsi="Arial" w:cs="Arial"/>
          <w:sz w:val="22"/>
          <w:szCs w:val="22"/>
        </w:rPr>
        <w:t>ΔΗΜΗΤΡΙΟΣ Κ. ΚΑΡΑΜΑΝΗΣ</w:t>
      </w:r>
    </w:p>
    <w:p w:rsidR="0028316C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sectPr w:rsidR="00235A2E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CF" w:rsidRDefault="00A546CF">
      <w:r>
        <w:separator/>
      </w:r>
    </w:p>
  </w:endnote>
  <w:endnote w:type="continuationSeparator" w:id="0">
    <w:p w:rsidR="00A546CF" w:rsidRDefault="00A5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CF" w:rsidRDefault="00A546CF">
      <w:r>
        <w:separator/>
      </w:r>
    </w:p>
  </w:footnote>
  <w:footnote w:type="continuationSeparator" w:id="0">
    <w:p w:rsidR="00A546CF" w:rsidRDefault="00A5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0556E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0556E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D26A1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02B24E9"/>
    <w:multiLevelType w:val="hybridMultilevel"/>
    <w:tmpl w:val="8D84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7"/>
  </w:num>
  <w:num w:numId="8">
    <w:abstractNumId w:val="24"/>
  </w:num>
  <w:num w:numId="9">
    <w:abstractNumId w:val="34"/>
  </w:num>
  <w:num w:numId="10">
    <w:abstractNumId w:val="32"/>
  </w:num>
  <w:num w:numId="11">
    <w:abstractNumId w:val="17"/>
  </w:num>
  <w:num w:numId="12">
    <w:abstractNumId w:val="29"/>
  </w:num>
  <w:num w:numId="13">
    <w:abstractNumId w:val="14"/>
  </w:num>
  <w:num w:numId="14">
    <w:abstractNumId w:val="28"/>
  </w:num>
  <w:num w:numId="15">
    <w:abstractNumId w:val="9"/>
  </w:num>
  <w:num w:numId="16">
    <w:abstractNumId w:val="8"/>
  </w:num>
  <w:num w:numId="17">
    <w:abstractNumId w:val="33"/>
  </w:num>
  <w:num w:numId="18">
    <w:abstractNumId w:val="37"/>
  </w:num>
  <w:num w:numId="19">
    <w:abstractNumId w:val="21"/>
  </w:num>
  <w:num w:numId="20">
    <w:abstractNumId w:val="30"/>
  </w:num>
  <w:num w:numId="21">
    <w:abstractNumId w:val="18"/>
  </w:num>
  <w:num w:numId="22">
    <w:abstractNumId w:val="16"/>
  </w:num>
  <w:num w:numId="23">
    <w:abstractNumId w:val="35"/>
  </w:num>
  <w:num w:numId="24">
    <w:abstractNumId w:val="25"/>
  </w:num>
  <w:num w:numId="25">
    <w:abstractNumId w:val="36"/>
  </w:num>
  <w:num w:numId="26">
    <w:abstractNumId w:val="10"/>
  </w:num>
  <w:num w:numId="27">
    <w:abstractNumId w:val="20"/>
  </w:num>
  <w:num w:numId="28">
    <w:abstractNumId w:val="31"/>
  </w:num>
  <w:num w:numId="29">
    <w:abstractNumId w:val="22"/>
  </w:num>
  <w:num w:numId="30">
    <w:abstractNumId w:val="12"/>
  </w:num>
  <w:num w:numId="31">
    <w:abstractNumId w:val="13"/>
  </w:num>
  <w:num w:numId="32">
    <w:abstractNumId w:val="15"/>
  </w:num>
  <w:num w:numId="33">
    <w:abstractNumId w:val="11"/>
  </w:num>
  <w:num w:numId="34">
    <w:abstractNumId w:val="27"/>
  </w:num>
  <w:num w:numId="35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8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483D"/>
    <w:rsid w:val="00054930"/>
    <w:rsid w:val="00054BF3"/>
    <w:rsid w:val="00054DED"/>
    <w:rsid w:val="00055514"/>
    <w:rsid w:val="000556E3"/>
    <w:rsid w:val="00060CC3"/>
    <w:rsid w:val="00061197"/>
    <w:rsid w:val="000628FA"/>
    <w:rsid w:val="00066288"/>
    <w:rsid w:val="00071FA5"/>
    <w:rsid w:val="00073F74"/>
    <w:rsid w:val="0007433E"/>
    <w:rsid w:val="00082AFD"/>
    <w:rsid w:val="00096EBA"/>
    <w:rsid w:val="00097687"/>
    <w:rsid w:val="000A09C3"/>
    <w:rsid w:val="000A11B2"/>
    <w:rsid w:val="000A1D62"/>
    <w:rsid w:val="000A253C"/>
    <w:rsid w:val="000A32FA"/>
    <w:rsid w:val="000A4BA8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E4DBE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46AB"/>
    <w:rsid w:val="00135B7B"/>
    <w:rsid w:val="00135C95"/>
    <w:rsid w:val="00136C42"/>
    <w:rsid w:val="00142E99"/>
    <w:rsid w:val="00144399"/>
    <w:rsid w:val="001459CD"/>
    <w:rsid w:val="00145EE5"/>
    <w:rsid w:val="001462E7"/>
    <w:rsid w:val="0014686A"/>
    <w:rsid w:val="00147B2F"/>
    <w:rsid w:val="00152F9C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126E"/>
    <w:rsid w:val="001A4EF0"/>
    <w:rsid w:val="001A5EB8"/>
    <w:rsid w:val="001A7B51"/>
    <w:rsid w:val="001B049F"/>
    <w:rsid w:val="001B2912"/>
    <w:rsid w:val="001B63B1"/>
    <w:rsid w:val="001B7132"/>
    <w:rsid w:val="001C2596"/>
    <w:rsid w:val="001C4920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1876"/>
    <w:rsid w:val="00235A2E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316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5E4"/>
    <w:rsid w:val="002C7914"/>
    <w:rsid w:val="002D1943"/>
    <w:rsid w:val="002D1997"/>
    <w:rsid w:val="002D284B"/>
    <w:rsid w:val="002D596D"/>
    <w:rsid w:val="002D6C37"/>
    <w:rsid w:val="002D6D3C"/>
    <w:rsid w:val="002E1914"/>
    <w:rsid w:val="002E2279"/>
    <w:rsid w:val="002E24B1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8F2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B61B6"/>
    <w:rsid w:val="003C235F"/>
    <w:rsid w:val="003C38EA"/>
    <w:rsid w:val="003C4801"/>
    <w:rsid w:val="003C4A02"/>
    <w:rsid w:val="003C79BD"/>
    <w:rsid w:val="003D26A1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01C6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08B7"/>
    <w:rsid w:val="00533871"/>
    <w:rsid w:val="00533BF0"/>
    <w:rsid w:val="00534BAD"/>
    <w:rsid w:val="00536464"/>
    <w:rsid w:val="00537494"/>
    <w:rsid w:val="0054173F"/>
    <w:rsid w:val="00542336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3E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05C5"/>
    <w:rsid w:val="006628A0"/>
    <w:rsid w:val="00663A0C"/>
    <w:rsid w:val="00666FC9"/>
    <w:rsid w:val="00667FD1"/>
    <w:rsid w:val="006700E4"/>
    <w:rsid w:val="00673873"/>
    <w:rsid w:val="00676AFC"/>
    <w:rsid w:val="006908AC"/>
    <w:rsid w:val="006931C4"/>
    <w:rsid w:val="00693E4C"/>
    <w:rsid w:val="006A1821"/>
    <w:rsid w:val="006A654E"/>
    <w:rsid w:val="006B32FA"/>
    <w:rsid w:val="006B65CF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3670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36EB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6673"/>
    <w:rsid w:val="009920E0"/>
    <w:rsid w:val="00992519"/>
    <w:rsid w:val="009A165E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0E59"/>
    <w:rsid w:val="00A05488"/>
    <w:rsid w:val="00A1563F"/>
    <w:rsid w:val="00A16427"/>
    <w:rsid w:val="00A16A2B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46CF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D7259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212"/>
    <w:rsid w:val="00B43889"/>
    <w:rsid w:val="00B44282"/>
    <w:rsid w:val="00B515E5"/>
    <w:rsid w:val="00B5190C"/>
    <w:rsid w:val="00B523B0"/>
    <w:rsid w:val="00B52CAE"/>
    <w:rsid w:val="00B53236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102B"/>
    <w:rsid w:val="00BC25AB"/>
    <w:rsid w:val="00BC32A6"/>
    <w:rsid w:val="00BC4511"/>
    <w:rsid w:val="00BD094F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0ADF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8A"/>
    <w:rsid w:val="00CB18E6"/>
    <w:rsid w:val="00CB3B17"/>
    <w:rsid w:val="00CB5351"/>
    <w:rsid w:val="00CB6C98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22AF"/>
    <w:rsid w:val="00D656DE"/>
    <w:rsid w:val="00D6694E"/>
    <w:rsid w:val="00D70808"/>
    <w:rsid w:val="00D7592D"/>
    <w:rsid w:val="00D76B52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0B8"/>
    <w:rsid w:val="00DB4A49"/>
    <w:rsid w:val="00DC546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4380"/>
    <w:rsid w:val="00E75068"/>
    <w:rsid w:val="00E75371"/>
    <w:rsid w:val="00E874BB"/>
    <w:rsid w:val="00E87A3F"/>
    <w:rsid w:val="00E907DC"/>
    <w:rsid w:val="00E93B49"/>
    <w:rsid w:val="00EA0365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40F2-7A60-4776-9D1A-18F17512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1745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11146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2024-08-07T07:06:00Z</cp:lastPrinted>
  <dcterms:created xsi:type="dcterms:W3CDTF">2024-11-07T06:40:00Z</dcterms:created>
  <dcterms:modified xsi:type="dcterms:W3CDTF">2024-11-07T07:47:00Z</dcterms:modified>
</cp:coreProperties>
</file>