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8D226F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8D226F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 w:rsidRPr="008D226F">
        <w:rPr>
          <w:rFonts w:ascii="Arial" w:eastAsia="Arial" w:hAnsi="Arial" w:cs="Arial"/>
          <w:b/>
          <w:bCs/>
          <w:sz w:val="22"/>
          <w:szCs w:val="22"/>
        </w:rPr>
        <w:t xml:space="preserve">          </w:t>
      </w:r>
      <w:r w:rsidRPr="008D226F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8D226F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 w:rsidRPr="008D226F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8D226F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 w:rsidRPr="008D226F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8D226F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44518A">
        <w:rPr>
          <w:rFonts w:ascii="Arial" w:eastAsia="Arial" w:hAnsi="Arial" w:cs="Arial"/>
          <w:b/>
          <w:bCs/>
          <w:sz w:val="22"/>
          <w:szCs w:val="22"/>
        </w:rPr>
        <w:t>0</w:t>
      </w:r>
      <w:r w:rsidR="005315C6">
        <w:rPr>
          <w:rFonts w:ascii="Arial" w:eastAsia="Arial" w:hAnsi="Arial" w:cs="Arial"/>
          <w:b/>
          <w:bCs/>
          <w:sz w:val="22"/>
          <w:szCs w:val="22"/>
        </w:rPr>
        <w:t>1</w:t>
      </w:r>
      <w:r w:rsidRPr="008D226F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4C3B29" w:rsidRPr="008D226F">
        <w:rPr>
          <w:rFonts w:ascii="Arial" w:eastAsia="Arial" w:hAnsi="Arial" w:cs="Arial"/>
          <w:b/>
          <w:bCs/>
          <w:sz w:val="22"/>
          <w:szCs w:val="22"/>
        </w:rPr>
        <w:t>1</w:t>
      </w:r>
      <w:r w:rsidR="0044518A">
        <w:rPr>
          <w:rFonts w:ascii="Arial" w:eastAsia="Arial" w:hAnsi="Arial" w:cs="Arial"/>
          <w:b/>
          <w:bCs/>
          <w:sz w:val="22"/>
          <w:szCs w:val="22"/>
        </w:rPr>
        <w:t>1</w:t>
      </w:r>
      <w:r w:rsidRPr="008D226F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8D226F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D226F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8D226F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 w:rsidRPr="008D226F">
        <w:rPr>
          <w:rFonts w:ascii="Arial" w:eastAsia="Arial" w:hAnsi="Arial" w:cs="Arial"/>
          <w:b/>
          <w:sz w:val="22"/>
          <w:szCs w:val="22"/>
        </w:rPr>
        <w:t xml:space="preserve">  </w:t>
      </w:r>
      <w:r w:rsidR="0044518A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  <w:r w:rsidR="00A95B20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44518A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="0044518A">
        <w:rPr>
          <w:rFonts w:ascii="Arial" w:eastAsia="Arial" w:hAnsi="Arial" w:cs="Arial"/>
          <w:b/>
          <w:sz w:val="22"/>
          <w:szCs w:val="22"/>
        </w:rPr>
        <w:t>Αριθμ</w:t>
      </w:r>
      <w:proofErr w:type="spellEnd"/>
      <w:r w:rsidR="0044518A">
        <w:rPr>
          <w:rFonts w:ascii="Arial" w:eastAsia="Arial" w:hAnsi="Arial" w:cs="Arial"/>
          <w:b/>
          <w:sz w:val="22"/>
          <w:szCs w:val="22"/>
        </w:rPr>
        <w:t xml:space="preserve">. </w:t>
      </w:r>
      <w:proofErr w:type="spellStart"/>
      <w:r w:rsidR="0044518A">
        <w:rPr>
          <w:rFonts w:ascii="Arial" w:eastAsia="Arial" w:hAnsi="Arial" w:cs="Arial"/>
          <w:b/>
          <w:sz w:val="22"/>
          <w:szCs w:val="22"/>
        </w:rPr>
        <w:t>πρωτ</w:t>
      </w:r>
      <w:proofErr w:type="spellEnd"/>
      <w:r w:rsidR="0044518A">
        <w:rPr>
          <w:rFonts w:ascii="Arial" w:eastAsia="Arial" w:hAnsi="Arial" w:cs="Arial"/>
          <w:b/>
          <w:sz w:val="22"/>
          <w:szCs w:val="22"/>
        </w:rPr>
        <w:t>.</w:t>
      </w:r>
      <w:r w:rsidR="002C645E" w:rsidRPr="008D226F">
        <w:rPr>
          <w:rFonts w:ascii="Arial" w:eastAsia="Arial" w:hAnsi="Arial" w:cs="Arial"/>
          <w:b/>
          <w:sz w:val="22"/>
          <w:szCs w:val="22"/>
        </w:rPr>
        <w:t xml:space="preserve">  </w:t>
      </w:r>
      <w:r w:rsidR="00A95B20">
        <w:rPr>
          <w:rFonts w:ascii="Arial" w:eastAsia="Arial" w:hAnsi="Arial" w:cs="Arial"/>
          <w:b/>
          <w:sz w:val="22"/>
          <w:szCs w:val="22"/>
        </w:rPr>
        <w:t>22081</w:t>
      </w:r>
      <w:r w:rsidR="002C645E" w:rsidRPr="008D226F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C35157" w:rsidRPr="008D226F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 w:rsidRPr="008D226F">
        <w:rPr>
          <w:rFonts w:ascii="Arial" w:eastAsia="Arial" w:hAnsi="Arial" w:cs="Arial"/>
          <w:b/>
          <w:sz w:val="22"/>
          <w:szCs w:val="22"/>
        </w:rPr>
        <w:t xml:space="preserve">                            </w:t>
      </w:r>
      <w:r w:rsidR="0054536C">
        <w:rPr>
          <w:rFonts w:ascii="Arial" w:eastAsia="Arial" w:hAnsi="Arial" w:cs="Arial"/>
          <w:b/>
          <w:sz w:val="22"/>
          <w:szCs w:val="22"/>
        </w:rPr>
        <w:t xml:space="preserve"> </w:t>
      </w:r>
      <w:r w:rsidR="0044518A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     </w:t>
      </w:r>
    </w:p>
    <w:p w:rsidR="00DA047C" w:rsidRPr="008D226F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8D226F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D226F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8D226F" w:rsidRDefault="00DA047C" w:rsidP="005E0A3E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8D226F">
        <w:rPr>
          <w:rFonts w:ascii="Arial" w:hAnsi="Arial" w:cs="Arial"/>
          <w:sz w:val="22"/>
          <w:szCs w:val="22"/>
        </w:rPr>
        <w:t>αριθμ</w:t>
      </w:r>
      <w:proofErr w:type="spellEnd"/>
      <w:r w:rsidRPr="008D226F">
        <w:rPr>
          <w:rFonts w:ascii="Arial" w:hAnsi="Arial" w:cs="Arial"/>
          <w:sz w:val="22"/>
          <w:szCs w:val="22"/>
        </w:rPr>
        <w:t xml:space="preserve">. </w:t>
      </w:r>
      <w:r w:rsidR="004C3B29" w:rsidRPr="008D226F">
        <w:rPr>
          <w:rFonts w:ascii="Arial" w:hAnsi="Arial" w:cs="Arial"/>
          <w:sz w:val="22"/>
          <w:szCs w:val="22"/>
        </w:rPr>
        <w:t>3</w:t>
      </w:r>
      <w:r w:rsidR="005315C6">
        <w:rPr>
          <w:rFonts w:ascii="Arial" w:hAnsi="Arial" w:cs="Arial"/>
          <w:sz w:val="22"/>
          <w:szCs w:val="22"/>
        </w:rPr>
        <w:t>7</w:t>
      </w:r>
      <w:r w:rsidRPr="008D226F">
        <w:rPr>
          <w:rFonts w:ascii="Arial" w:hAnsi="Arial" w:cs="Arial"/>
          <w:sz w:val="22"/>
          <w:szCs w:val="22"/>
          <w:vertAlign w:val="superscript"/>
        </w:rPr>
        <w:t>ης</w:t>
      </w:r>
      <w:r w:rsidRPr="008D226F">
        <w:rPr>
          <w:rFonts w:ascii="Arial" w:hAnsi="Arial" w:cs="Arial"/>
          <w:sz w:val="22"/>
          <w:szCs w:val="22"/>
        </w:rPr>
        <w:t xml:space="preserve">  /2024</w:t>
      </w:r>
      <w:r w:rsidRPr="008D226F">
        <w:rPr>
          <w:rFonts w:ascii="Arial" w:hAnsi="Arial" w:cs="Arial"/>
          <w:b/>
          <w:sz w:val="22"/>
          <w:szCs w:val="22"/>
        </w:rPr>
        <w:t xml:space="preserve">  </w:t>
      </w:r>
      <w:r w:rsidRPr="008D226F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8D226F">
        <w:rPr>
          <w:rFonts w:ascii="Arial" w:eastAsia="Arial" w:hAnsi="Arial" w:cs="Arial"/>
          <w:sz w:val="22"/>
          <w:szCs w:val="22"/>
        </w:rPr>
        <w:t xml:space="preserve"> </w:t>
      </w:r>
      <w:r w:rsidRPr="008D226F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8D226F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8D226F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8D226F">
        <w:rPr>
          <w:rFonts w:ascii="Arial" w:hAnsi="Arial" w:cs="Arial"/>
          <w:b/>
          <w:sz w:val="22"/>
          <w:szCs w:val="22"/>
        </w:rPr>
        <w:t>Αριθμός απόφασης</w:t>
      </w:r>
      <w:r w:rsidRPr="008D226F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4C3B29" w:rsidRPr="008D226F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="00075B18">
        <w:rPr>
          <w:rFonts w:ascii="Arial" w:eastAsia="SimSun" w:hAnsi="Arial" w:cs="Arial"/>
          <w:b/>
          <w:sz w:val="22"/>
          <w:szCs w:val="22"/>
          <w:highlight w:val="white"/>
        </w:rPr>
        <w:t>9</w:t>
      </w:r>
      <w:r w:rsidR="00624C3E">
        <w:rPr>
          <w:rFonts w:ascii="Arial" w:eastAsia="SimSun" w:hAnsi="Arial" w:cs="Arial"/>
          <w:b/>
          <w:sz w:val="22"/>
          <w:szCs w:val="22"/>
          <w:highlight w:val="white"/>
        </w:rPr>
        <w:t>5</w:t>
      </w:r>
      <w:r w:rsidRPr="008D226F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624C3E" w:rsidRPr="007B0E31" w:rsidRDefault="00624C3E" w:rsidP="00624C3E">
      <w:pPr>
        <w:rPr>
          <w:rFonts w:ascii="Arial" w:hAnsi="Arial" w:cs="Arial"/>
          <w:b/>
          <w:sz w:val="22"/>
          <w:szCs w:val="22"/>
        </w:rPr>
      </w:pPr>
      <w:r w:rsidRPr="007B0E31">
        <w:rPr>
          <w:rFonts w:ascii="Arial" w:hAnsi="Arial" w:cs="Arial"/>
          <w:b/>
          <w:sz w:val="22"/>
          <w:szCs w:val="22"/>
        </w:rPr>
        <w:t xml:space="preserve">   </w:t>
      </w:r>
      <w:r w:rsidRPr="007B0E31">
        <w:rPr>
          <w:rFonts w:ascii="Arial" w:hAnsi="Arial" w:cs="Arial"/>
          <w:b/>
          <w:bCs/>
          <w:sz w:val="22"/>
          <w:szCs w:val="22"/>
        </w:rPr>
        <w:t xml:space="preserve">Απαλλαγή υπολόγου  και έγκριση απόδοσης λογαριασμού του </w:t>
      </w:r>
      <w:proofErr w:type="spellStart"/>
      <w:r w:rsidRPr="007B0E31">
        <w:rPr>
          <w:rFonts w:ascii="Arial" w:hAnsi="Arial" w:cs="Arial"/>
          <w:b/>
          <w:bCs/>
          <w:sz w:val="22"/>
          <w:szCs w:val="22"/>
        </w:rPr>
        <w:t>υπ΄αριθ</w:t>
      </w:r>
      <w:proofErr w:type="spellEnd"/>
      <w:r w:rsidRPr="007B0E31">
        <w:rPr>
          <w:rFonts w:ascii="Arial" w:hAnsi="Arial" w:cs="Arial"/>
          <w:b/>
          <w:bCs/>
          <w:sz w:val="22"/>
          <w:szCs w:val="22"/>
        </w:rPr>
        <w:t>. 2</w:t>
      </w:r>
      <w:r>
        <w:rPr>
          <w:rFonts w:ascii="Arial" w:hAnsi="Arial" w:cs="Arial"/>
          <w:b/>
          <w:bCs/>
          <w:sz w:val="22"/>
          <w:szCs w:val="22"/>
        </w:rPr>
        <w:t>155</w:t>
      </w:r>
      <w:r w:rsidRPr="007B0E31">
        <w:rPr>
          <w:rFonts w:ascii="Arial" w:hAnsi="Arial" w:cs="Arial"/>
          <w:b/>
          <w:bCs/>
          <w:sz w:val="22"/>
          <w:szCs w:val="22"/>
        </w:rPr>
        <w:t>/2024 Χρηματικού Εντάλματος Προπληρωμής.</w:t>
      </w:r>
    </w:p>
    <w:p w:rsidR="00624C3E" w:rsidRPr="007B0E31" w:rsidRDefault="00624C3E" w:rsidP="00624C3E">
      <w:pPr>
        <w:rPr>
          <w:rFonts w:ascii="Arial" w:hAnsi="Arial" w:cs="Arial"/>
          <w:b/>
          <w:sz w:val="22"/>
          <w:szCs w:val="22"/>
        </w:rPr>
      </w:pPr>
    </w:p>
    <w:p w:rsidR="00C35157" w:rsidRPr="00C8655A" w:rsidRDefault="00C35157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075B18" w:rsidRPr="00075B18" w:rsidRDefault="00075B18" w:rsidP="00075B18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075B18">
        <w:rPr>
          <w:rFonts w:ascii="Arial" w:hAnsi="Arial" w:cs="Arial"/>
          <w:sz w:val="22"/>
          <w:szCs w:val="22"/>
        </w:rPr>
        <w:t>Στη Λιβαδειά σήμερα   30</w:t>
      </w:r>
      <w:r w:rsidRPr="00075B18">
        <w:rPr>
          <w:rFonts w:ascii="Arial" w:hAnsi="Arial" w:cs="Arial"/>
          <w:sz w:val="22"/>
          <w:szCs w:val="22"/>
          <w:vertAlign w:val="superscript"/>
        </w:rPr>
        <w:t>η</w:t>
      </w:r>
      <w:r w:rsidRPr="00075B18">
        <w:rPr>
          <w:rFonts w:ascii="Arial" w:hAnsi="Arial" w:cs="Arial"/>
          <w:sz w:val="22"/>
          <w:szCs w:val="22"/>
        </w:rPr>
        <w:t xml:space="preserve">   Οκτωβρίου   2024  ημέρα  Τετάρτη  και, ώρα 13.45  και στην αίθουσα συνεδριάσεων του Δημοτικού Συμβουλίου  </w:t>
      </w:r>
      <w:proofErr w:type="spellStart"/>
      <w:r w:rsidRPr="00075B18">
        <w:rPr>
          <w:rFonts w:ascii="Arial" w:hAnsi="Arial" w:cs="Arial"/>
          <w:sz w:val="22"/>
          <w:szCs w:val="22"/>
        </w:rPr>
        <w:t>Λεβαδέων</w:t>
      </w:r>
      <w:proofErr w:type="spellEnd"/>
      <w:r w:rsidRPr="00075B18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75B18">
        <w:rPr>
          <w:rFonts w:ascii="Arial" w:hAnsi="Arial" w:cs="Arial"/>
          <w:sz w:val="22"/>
          <w:szCs w:val="22"/>
        </w:rPr>
        <w:t>Λεβαδέων</w:t>
      </w:r>
      <w:proofErr w:type="spellEnd"/>
      <w:r w:rsidRPr="00075B18">
        <w:rPr>
          <w:rFonts w:ascii="Arial" w:hAnsi="Arial" w:cs="Arial"/>
          <w:sz w:val="22"/>
          <w:szCs w:val="22"/>
        </w:rPr>
        <w:t xml:space="preserve"> μετά την από  21643/25-10-2024 έγγραφη πρόσκληση του  Προέδρου της (Δημάρχου </w:t>
      </w:r>
      <w:proofErr w:type="spellStart"/>
      <w:r w:rsidRPr="00075B18">
        <w:rPr>
          <w:rFonts w:ascii="Arial" w:hAnsi="Arial" w:cs="Arial"/>
          <w:sz w:val="22"/>
          <w:szCs w:val="22"/>
        </w:rPr>
        <w:t>Λεβαδέων</w:t>
      </w:r>
      <w:proofErr w:type="spellEnd"/>
      <w:r w:rsidRPr="00075B18">
        <w:rPr>
          <w:rFonts w:ascii="Arial" w:hAnsi="Arial" w:cs="Arial"/>
          <w:sz w:val="22"/>
          <w:szCs w:val="22"/>
        </w:rPr>
        <w:t>) σε εφαρμογή των διατάξεων     α) Των  διατάξεων του άρθρου 75 του Ν. 3852/2010 όπως αυτό αντικαταστάθηκε από το άρθρο 77 του Ν. 4555/2018 β)Των  διατάξεων του  άρθρου 74</w:t>
      </w:r>
      <w:r w:rsidRPr="00075B18">
        <w:rPr>
          <w:rFonts w:ascii="Arial" w:hAnsi="Arial" w:cs="Arial"/>
          <w:sz w:val="22"/>
          <w:szCs w:val="22"/>
          <w:vertAlign w:val="superscript"/>
        </w:rPr>
        <w:t>Α</w:t>
      </w:r>
      <w:r w:rsidRPr="00075B18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75B18" w:rsidRPr="00075B18" w:rsidRDefault="00075B18" w:rsidP="00075B18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075B18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075B18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 παρόντα  7 (επτά)  , ήτοι:</w:t>
      </w:r>
    </w:p>
    <w:p w:rsidR="00075B18" w:rsidRPr="00075B18" w:rsidRDefault="00075B18" w:rsidP="00075B18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075B18" w:rsidRPr="00075B18" w:rsidRDefault="00075B18" w:rsidP="00075B18">
      <w:pPr>
        <w:jc w:val="both"/>
        <w:rPr>
          <w:rFonts w:ascii="Arial" w:hAnsi="Arial" w:cs="Arial"/>
          <w:b/>
          <w:sz w:val="22"/>
          <w:szCs w:val="22"/>
        </w:rPr>
      </w:pPr>
      <w:r w:rsidRPr="00075B18">
        <w:rPr>
          <w:rFonts w:ascii="Arial" w:hAnsi="Arial" w:cs="Arial"/>
          <w:sz w:val="22"/>
          <w:szCs w:val="22"/>
        </w:rPr>
        <w:t xml:space="preserve">                 </w:t>
      </w:r>
      <w:r w:rsidRPr="00075B18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075B18" w:rsidRPr="00075B18" w:rsidRDefault="00075B18" w:rsidP="00075B18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75B18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075B18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075B18">
        <w:rPr>
          <w:rFonts w:ascii="Arial" w:hAnsi="Arial" w:cs="Arial"/>
          <w:sz w:val="22"/>
          <w:szCs w:val="22"/>
        </w:rPr>
        <w:t>Καραμάνης</w:t>
      </w:r>
      <w:proofErr w:type="spellEnd"/>
      <w:r w:rsidRPr="00075B18">
        <w:rPr>
          <w:rFonts w:ascii="Arial" w:hAnsi="Arial" w:cs="Arial"/>
          <w:sz w:val="22"/>
          <w:szCs w:val="22"/>
        </w:rPr>
        <w:t xml:space="preserve">  Δημήτριος-Πρόεδρος                                          </w:t>
      </w:r>
    </w:p>
    <w:p w:rsidR="00075B18" w:rsidRPr="00075B18" w:rsidRDefault="00075B18" w:rsidP="00075B18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75B18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075B18">
        <w:rPr>
          <w:rFonts w:ascii="Arial" w:hAnsi="Arial" w:cs="Arial"/>
          <w:sz w:val="22"/>
          <w:szCs w:val="22"/>
        </w:rPr>
        <w:t>Τουμαράς</w:t>
      </w:r>
      <w:proofErr w:type="spellEnd"/>
      <w:r w:rsidRPr="00075B18">
        <w:rPr>
          <w:rFonts w:ascii="Arial" w:hAnsi="Arial" w:cs="Arial"/>
          <w:sz w:val="22"/>
          <w:szCs w:val="22"/>
        </w:rPr>
        <w:t xml:space="preserve">  Βασίλειος                                                               </w:t>
      </w:r>
    </w:p>
    <w:p w:rsidR="00075B18" w:rsidRPr="00075B18" w:rsidRDefault="00075B18" w:rsidP="00075B18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75B18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075B18">
        <w:rPr>
          <w:rFonts w:ascii="Arial" w:hAnsi="Arial" w:cs="Arial"/>
          <w:sz w:val="22"/>
          <w:szCs w:val="22"/>
        </w:rPr>
        <w:t>Αγνιάδης</w:t>
      </w:r>
      <w:proofErr w:type="spellEnd"/>
      <w:r w:rsidRPr="00075B18">
        <w:rPr>
          <w:rFonts w:ascii="Arial" w:hAnsi="Arial" w:cs="Arial"/>
          <w:sz w:val="22"/>
          <w:szCs w:val="22"/>
        </w:rPr>
        <w:t xml:space="preserve">  Παναγιώτης                                                           </w:t>
      </w:r>
    </w:p>
    <w:p w:rsidR="00075B18" w:rsidRPr="00075B18" w:rsidRDefault="00075B18" w:rsidP="00075B18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75B18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075B18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075B18">
        <w:rPr>
          <w:rFonts w:ascii="Arial" w:hAnsi="Arial" w:cs="Arial"/>
          <w:sz w:val="22"/>
          <w:szCs w:val="22"/>
        </w:rPr>
        <w:t xml:space="preserve">  Χρήστος </w:t>
      </w:r>
    </w:p>
    <w:p w:rsidR="00075B18" w:rsidRPr="00075B18" w:rsidRDefault="00075B18" w:rsidP="00075B1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75B18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Pr="00075B18">
        <w:rPr>
          <w:rFonts w:ascii="Arial" w:hAnsi="Arial" w:cs="Arial"/>
          <w:sz w:val="22"/>
          <w:szCs w:val="22"/>
        </w:rPr>
        <w:t>Τόλιας</w:t>
      </w:r>
      <w:proofErr w:type="spellEnd"/>
      <w:r w:rsidRPr="00075B18">
        <w:rPr>
          <w:rFonts w:ascii="Arial" w:hAnsi="Arial" w:cs="Arial"/>
          <w:sz w:val="22"/>
          <w:szCs w:val="22"/>
        </w:rPr>
        <w:t xml:space="preserve"> Δημήτριος (αν/κό μέλος κ. Παπαβασιλείου Αικατερίνης)</w:t>
      </w:r>
    </w:p>
    <w:p w:rsidR="00075B18" w:rsidRPr="00075B18" w:rsidRDefault="00075B18" w:rsidP="00075B1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75B18">
        <w:rPr>
          <w:rFonts w:ascii="Arial" w:hAnsi="Arial" w:cs="Arial"/>
          <w:sz w:val="22"/>
          <w:szCs w:val="22"/>
        </w:rPr>
        <w:t xml:space="preserve">      6. </w:t>
      </w:r>
      <w:proofErr w:type="spellStart"/>
      <w:r w:rsidRPr="00075B18">
        <w:rPr>
          <w:rFonts w:ascii="Arial" w:hAnsi="Arial" w:cs="Arial"/>
          <w:sz w:val="22"/>
          <w:szCs w:val="22"/>
        </w:rPr>
        <w:t>Μίχας</w:t>
      </w:r>
      <w:proofErr w:type="spellEnd"/>
      <w:r w:rsidRPr="00075B18">
        <w:rPr>
          <w:rFonts w:ascii="Arial" w:hAnsi="Arial" w:cs="Arial"/>
          <w:sz w:val="22"/>
          <w:szCs w:val="22"/>
        </w:rPr>
        <w:t xml:space="preserve"> Δημήτριος  (αποχώρησε στη διάρκεια  του 1</w:t>
      </w:r>
      <w:r w:rsidRPr="00075B18">
        <w:rPr>
          <w:rFonts w:ascii="Arial" w:hAnsi="Arial" w:cs="Arial"/>
          <w:sz w:val="22"/>
          <w:szCs w:val="22"/>
          <w:vertAlign w:val="superscript"/>
        </w:rPr>
        <w:t>ου</w:t>
      </w:r>
      <w:r w:rsidRPr="00075B18">
        <w:rPr>
          <w:rFonts w:ascii="Arial" w:hAnsi="Arial" w:cs="Arial"/>
          <w:sz w:val="22"/>
          <w:szCs w:val="22"/>
        </w:rPr>
        <w:t xml:space="preserve">  Θ.Η.Δ.)</w:t>
      </w:r>
    </w:p>
    <w:p w:rsidR="00075B18" w:rsidRPr="00075B18" w:rsidRDefault="00075B18" w:rsidP="00075B1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75B18">
        <w:rPr>
          <w:rFonts w:ascii="Arial" w:hAnsi="Arial" w:cs="Arial"/>
          <w:sz w:val="22"/>
          <w:szCs w:val="22"/>
        </w:rPr>
        <w:t xml:space="preserve">      7.Ταγκαλέγκας  Ιωάννης (αποχώρησε στη διάρκεια  του 1</w:t>
      </w:r>
      <w:r w:rsidRPr="00075B18">
        <w:rPr>
          <w:rFonts w:ascii="Arial" w:hAnsi="Arial" w:cs="Arial"/>
          <w:sz w:val="22"/>
          <w:szCs w:val="22"/>
          <w:vertAlign w:val="superscript"/>
        </w:rPr>
        <w:t>ου</w:t>
      </w:r>
      <w:r w:rsidRPr="00075B18">
        <w:rPr>
          <w:rFonts w:ascii="Arial" w:hAnsi="Arial" w:cs="Arial"/>
          <w:sz w:val="22"/>
          <w:szCs w:val="22"/>
        </w:rPr>
        <w:t xml:space="preserve">  Θ.Η.Δ.) </w:t>
      </w:r>
    </w:p>
    <w:p w:rsidR="00E66047" w:rsidRPr="008D226F" w:rsidRDefault="00E66047" w:rsidP="001D3D66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  <w:highlight w:val="yellow"/>
        </w:rPr>
      </w:pPr>
      <w:r w:rsidRPr="008D226F">
        <w:rPr>
          <w:rFonts w:ascii="Arial" w:hAnsi="Arial" w:cs="Arial"/>
          <w:sz w:val="22"/>
          <w:szCs w:val="22"/>
          <w:highlight w:val="yellow"/>
        </w:rPr>
        <w:t xml:space="preserve">           </w:t>
      </w:r>
      <w:r w:rsidRPr="008D226F">
        <w:rPr>
          <w:rFonts w:ascii="Arial" w:eastAsia="Arial" w:hAnsi="Arial" w:cs="Arial"/>
          <w:sz w:val="22"/>
          <w:szCs w:val="22"/>
          <w:highlight w:val="yellow"/>
        </w:rPr>
        <w:t xml:space="preserve">              </w:t>
      </w:r>
    </w:p>
    <w:p w:rsidR="002465A3" w:rsidRPr="008D226F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  <w:highlight w:val="yellow"/>
        </w:rPr>
      </w:pPr>
      <w:r w:rsidRPr="008D226F">
        <w:rPr>
          <w:rFonts w:ascii="Arial" w:hAnsi="Arial" w:cs="Arial"/>
          <w:sz w:val="22"/>
          <w:szCs w:val="22"/>
          <w:highlight w:val="yellow"/>
        </w:rPr>
        <w:t xml:space="preserve">      </w:t>
      </w:r>
    </w:p>
    <w:p w:rsidR="002465A3" w:rsidRPr="008D226F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6708B9" w:rsidRPr="002661F0" w:rsidRDefault="00E10218" w:rsidP="006708B9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8D226F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6708B9">
        <w:rPr>
          <w:rFonts w:ascii="Arial" w:eastAsia="Arial" w:hAnsi="Arial" w:cs="Arial"/>
          <w:sz w:val="22"/>
          <w:szCs w:val="22"/>
        </w:rPr>
        <w:t>6</w:t>
      </w:r>
      <w:r w:rsidR="006F6D39" w:rsidRPr="008D226F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8D226F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2FEB">
        <w:rPr>
          <w:rFonts w:ascii="Arial" w:eastAsia="Arial" w:hAnsi="Arial" w:cs="Arial"/>
          <w:sz w:val="22"/>
          <w:szCs w:val="22"/>
        </w:rPr>
        <w:t>ο</w:t>
      </w:r>
      <w:r w:rsidR="00DA047C" w:rsidRPr="008D226F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8D226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8D226F">
        <w:rPr>
          <w:rFonts w:ascii="Arial" w:eastAsia="Arial" w:hAnsi="Arial" w:cs="Arial"/>
          <w:sz w:val="22"/>
          <w:szCs w:val="22"/>
        </w:rPr>
        <w:t>υπ΄</w:t>
      </w:r>
      <w:proofErr w:type="spellEnd"/>
      <w:r w:rsidR="008946BA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8D226F">
        <w:rPr>
          <w:rFonts w:ascii="Arial" w:eastAsia="Arial" w:hAnsi="Arial" w:cs="Arial"/>
          <w:sz w:val="22"/>
          <w:szCs w:val="22"/>
        </w:rPr>
        <w:t>αριθμ</w:t>
      </w:r>
      <w:proofErr w:type="spellEnd"/>
      <w:r w:rsidR="006F6D39" w:rsidRPr="008D226F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432FEB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432FEB">
        <w:rPr>
          <w:rFonts w:ascii="Arial" w:eastAsia="Arial" w:hAnsi="Arial" w:cs="Arial"/>
          <w:sz w:val="22"/>
          <w:szCs w:val="22"/>
        </w:rPr>
        <w:t xml:space="preserve">. </w:t>
      </w:r>
      <w:r w:rsidR="004C3B29" w:rsidRPr="008D226F">
        <w:rPr>
          <w:rFonts w:ascii="Arial" w:eastAsia="Arial" w:hAnsi="Arial" w:cs="Arial"/>
          <w:sz w:val="22"/>
          <w:szCs w:val="22"/>
        </w:rPr>
        <w:t>2</w:t>
      </w:r>
      <w:r w:rsidR="00075B18">
        <w:rPr>
          <w:rFonts w:ascii="Arial" w:eastAsia="Arial" w:hAnsi="Arial" w:cs="Arial"/>
          <w:sz w:val="22"/>
          <w:szCs w:val="22"/>
        </w:rPr>
        <w:t>1</w:t>
      </w:r>
      <w:r w:rsidR="006708B9">
        <w:rPr>
          <w:rFonts w:ascii="Arial" w:eastAsia="Arial" w:hAnsi="Arial" w:cs="Arial"/>
          <w:sz w:val="22"/>
          <w:szCs w:val="22"/>
        </w:rPr>
        <w:t>276</w:t>
      </w:r>
      <w:r w:rsidR="002465A3" w:rsidRPr="008D226F">
        <w:rPr>
          <w:rFonts w:ascii="Arial" w:eastAsia="Arial" w:hAnsi="Arial" w:cs="Arial"/>
          <w:sz w:val="22"/>
          <w:szCs w:val="22"/>
        </w:rPr>
        <w:t>/</w:t>
      </w:r>
      <w:r w:rsidR="00075B18">
        <w:rPr>
          <w:rFonts w:ascii="Arial" w:eastAsia="Arial" w:hAnsi="Arial" w:cs="Arial"/>
          <w:sz w:val="22"/>
          <w:szCs w:val="22"/>
        </w:rPr>
        <w:t>2</w:t>
      </w:r>
      <w:r w:rsidR="006708B9">
        <w:rPr>
          <w:rFonts w:ascii="Arial" w:eastAsia="Arial" w:hAnsi="Arial" w:cs="Arial"/>
          <w:sz w:val="22"/>
          <w:szCs w:val="22"/>
        </w:rPr>
        <w:t>2</w:t>
      </w:r>
      <w:r w:rsidR="004C3B29" w:rsidRPr="008D226F">
        <w:rPr>
          <w:rFonts w:ascii="Arial" w:eastAsia="Arial" w:hAnsi="Arial" w:cs="Arial"/>
          <w:sz w:val="22"/>
          <w:szCs w:val="22"/>
        </w:rPr>
        <w:t>-10</w:t>
      </w:r>
      <w:r w:rsidR="00805DCA" w:rsidRPr="008D226F">
        <w:rPr>
          <w:rFonts w:ascii="Arial" w:eastAsia="Arial" w:hAnsi="Arial" w:cs="Arial"/>
          <w:sz w:val="22"/>
          <w:szCs w:val="22"/>
        </w:rPr>
        <w:t xml:space="preserve">-2024 </w:t>
      </w:r>
      <w:r w:rsidR="00432FEB">
        <w:rPr>
          <w:rFonts w:ascii="Arial" w:eastAsia="Arial" w:hAnsi="Arial" w:cs="Arial"/>
          <w:sz w:val="22"/>
          <w:szCs w:val="22"/>
        </w:rPr>
        <w:t>έγγραφο</w:t>
      </w:r>
      <w:r w:rsidR="00805DCA" w:rsidRPr="008D226F">
        <w:rPr>
          <w:rFonts w:ascii="Arial" w:eastAsia="Arial" w:hAnsi="Arial" w:cs="Arial"/>
          <w:sz w:val="22"/>
          <w:szCs w:val="22"/>
        </w:rPr>
        <w:t xml:space="preserve"> </w:t>
      </w:r>
      <w:r w:rsidR="006708B9">
        <w:rPr>
          <w:rFonts w:ascii="Arial" w:eastAsia="Verdana" w:hAnsi="Arial" w:cs="Arial"/>
          <w:color w:val="000000"/>
          <w:sz w:val="22"/>
          <w:szCs w:val="22"/>
        </w:rPr>
        <w:t xml:space="preserve">του υπολόγου δημοτικού  υπαλλήλου </w:t>
      </w:r>
      <w:r w:rsidR="006708B9" w:rsidRPr="002661F0">
        <w:rPr>
          <w:rFonts w:ascii="Arial" w:eastAsia="Arial" w:hAnsi="Arial" w:cs="Arial"/>
          <w:sz w:val="22"/>
          <w:szCs w:val="22"/>
        </w:rPr>
        <w:t xml:space="preserve"> </w:t>
      </w:r>
      <w:r w:rsidR="006708B9" w:rsidRPr="002661F0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6708B9" w:rsidRPr="002661F0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6708B9" w:rsidRPr="002661F0">
        <w:rPr>
          <w:rFonts w:ascii="Arial" w:hAnsi="Arial" w:cs="Arial"/>
          <w:sz w:val="22"/>
          <w:szCs w:val="22"/>
        </w:rPr>
        <w:t>Λεβαδέων</w:t>
      </w:r>
      <w:proofErr w:type="spellEnd"/>
      <w:r w:rsidR="006708B9" w:rsidRPr="002661F0">
        <w:rPr>
          <w:rFonts w:ascii="Arial" w:hAnsi="Arial" w:cs="Arial"/>
          <w:sz w:val="22"/>
          <w:szCs w:val="22"/>
        </w:rPr>
        <w:t xml:space="preserve">  </w:t>
      </w:r>
      <w:r w:rsidR="006708B9">
        <w:rPr>
          <w:rFonts w:ascii="Arial" w:hAnsi="Arial" w:cs="Arial"/>
          <w:sz w:val="22"/>
          <w:szCs w:val="22"/>
        </w:rPr>
        <w:t xml:space="preserve">κ. Στάμου Λουκά  </w:t>
      </w:r>
      <w:r w:rsidR="006708B9" w:rsidRPr="002661F0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στο  οποίο</w:t>
      </w:r>
      <w:r w:rsidR="006708B9" w:rsidRPr="002661F0">
        <w:rPr>
          <w:rFonts w:ascii="Arial" w:eastAsia="Arial" w:hAnsi="Arial" w:cs="Arial"/>
          <w:sz w:val="22"/>
          <w:szCs w:val="22"/>
        </w:rPr>
        <w:t xml:space="preserve"> αναφέρονται </w:t>
      </w:r>
      <w:r w:rsidR="006708B9" w:rsidRPr="002661F0">
        <w:rPr>
          <w:rFonts w:ascii="Arial" w:hAnsi="Arial" w:cs="Arial"/>
          <w:sz w:val="22"/>
          <w:szCs w:val="22"/>
        </w:rPr>
        <w:t>τα παρακάτω:</w:t>
      </w:r>
      <w:r w:rsidR="006708B9" w:rsidRPr="002661F0">
        <w:rPr>
          <w:rFonts w:ascii="Arial" w:eastAsia="Arial" w:hAnsi="Arial" w:cs="Arial"/>
          <w:sz w:val="22"/>
          <w:szCs w:val="22"/>
        </w:rPr>
        <w:t xml:space="preserve">  </w:t>
      </w:r>
    </w:p>
    <w:p w:rsidR="009F5018" w:rsidRPr="009F5018" w:rsidRDefault="009F5018" w:rsidP="009F501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i/>
          <w:sz w:val="22"/>
          <w:szCs w:val="22"/>
        </w:rPr>
        <w:t>Σύμφωνα με το άρθρο 32, παρ.1 και 2 του Β.Δ. 17-5/15-6-59 (ΦΕΚ 114/59 τεύχος Α') ορίζεται ότι:</w:t>
      </w:r>
    </w:p>
    <w:p w:rsidR="009F5018" w:rsidRPr="009F5018" w:rsidRDefault="009F5018" w:rsidP="009F5018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i/>
          <w:sz w:val="22"/>
          <w:szCs w:val="22"/>
        </w:rPr>
        <w:t xml:space="preserve">«1. Εντάλματα προπληρωμής,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είς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άς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περιπτώσεις επιτρέπεται η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έκδοσις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τοιούτων υπό του νόμου, εκδίδονται επ' ονόματι μονίμου υπαλλήλου του δήμου. Ούτος καθίσταται υπόλογος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οφείλων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εντός της τακτής προθεσμίας να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αποδώση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λογαριασμόν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της διαχειρίσεως των ληφθέντων χρημάτων, υποβάλλων τα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κεκανονισμένα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δικαιολογητικά και επιστρέφων το μη διατεθέν ποσόν. </w:t>
      </w:r>
    </w:p>
    <w:p w:rsidR="009F5018" w:rsidRPr="009F5018" w:rsidRDefault="009F5018" w:rsidP="009F5018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i/>
          <w:sz w:val="22"/>
          <w:szCs w:val="22"/>
        </w:rPr>
        <w:t xml:space="preserve">Η προθεσμία αποδόσεως λογαριασμού ορίζεται δια της περί εκδόσεως του εντάλματος προπληρωμής αποφάσεως, ήτις δεν δύναται να είναι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μεγαλυτέρα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του τριμήνου και δέον να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λήγη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ένα τουλάχιστον μήνα προ της λήξεως του οικονομικού έτους. </w:t>
      </w:r>
    </w:p>
    <w:p w:rsidR="009F5018" w:rsidRPr="009F5018" w:rsidRDefault="009F5018" w:rsidP="009F5018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b/>
          <w:bCs/>
          <w:i/>
          <w:sz w:val="22"/>
          <w:szCs w:val="22"/>
        </w:rPr>
        <w:t>2.</w:t>
      </w:r>
      <w:r w:rsidRPr="009F5018">
        <w:rPr>
          <w:rFonts w:ascii="Arial" w:hAnsi="Arial" w:cs="Arial"/>
          <w:i/>
          <w:sz w:val="22"/>
          <w:szCs w:val="22"/>
        </w:rPr>
        <w:t xml:space="preserve"> Επί τη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ητιολογημένη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αιτήσει του υπολόγου δύναται ή κατά την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προηγουμένην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παράγραφον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προθεσμία να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παραταθή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επί ένα εισέτι μήνα εν ουδεμία όμως περιπτώσει πέραν της λήξεως του οικονομικού έτους.»</w:t>
      </w:r>
    </w:p>
    <w:p w:rsidR="009F5018" w:rsidRPr="009F5018" w:rsidRDefault="009F5018" w:rsidP="009F5018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i/>
          <w:sz w:val="22"/>
          <w:szCs w:val="22"/>
        </w:rPr>
        <w:lastRenderedPageBreak/>
        <w:t>Σύμφωνα με τα άρθρα 33 και 34 του Β.Δ. 17-5/15-6-59 (ΦΕΚ 114/59 τεύχος Α') ορίζεται ότι:</w:t>
      </w:r>
    </w:p>
    <w:p w:rsidR="009F5018" w:rsidRPr="009F5018" w:rsidRDefault="009F5018" w:rsidP="009F5018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i/>
          <w:sz w:val="22"/>
          <w:szCs w:val="22"/>
        </w:rPr>
        <w:t xml:space="preserve">«1.Απαγορεύεται η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χρησιμοποίησις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των ληφθέντων χρημάτων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δι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' εντάλματος προπληρωμής δια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δαπάνας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άλλας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ή τας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δι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'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άς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εξεδόθη η προκαταβολή. </w:t>
      </w:r>
    </w:p>
    <w:p w:rsidR="009F5018" w:rsidRPr="009F5018" w:rsidRDefault="009F5018" w:rsidP="009F5018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bCs/>
          <w:i/>
          <w:sz w:val="22"/>
          <w:szCs w:val="22"/>
        </w:rPr>
        <w:t>2.</w:t>
      </w:r>
      <w:r w:rsidRPr="009F5018">
        <w:rPr>
          <w:rFonts w:ascii="Arial" w:hAnsi="Arial" w:cs="Arial"/>
          <w:i/>
          <w:sz w:val="22"/>
          <w:szCs w:val="22"/>
        </w:rPr>
        <w:t xml:space="preserve"> Εν ουδεμία περιπτώσει επιτρέπεται η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έκδοσις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χρηματικού εντάλματος επ' ονόματι υπολόγου μη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αποδώσαντος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λογαριασμόν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επί προηγουμένου εντάλματος προπληρωμής.»</w:t>
      </w:r>
    </w:p>
    <w:p w:rsidR="009F5018" w:rsidRPr="009F5018" w:rsidRDefault="009F5018" w:rsidP="009F5018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i/>
          <w:sz w:val="22"/>
          <w:szCs w:val="22"/>
        </w:rPr>
        <w:t>Τέλος σύμφωνα με το άρθρο 37 του Β.Δ. 17-5/15-6-59 (ΦΕΚ 114/59 τεύχος Α') ορίζεται ότι:</w:t>
      </w:r>
    </w:p>
    <w:p w:rsidR="009F5018" w:rsidRPr="009F5018" w:rsidRDefault="009F5018" w:rsidP="009F5018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i/>
          <w:sz w:val="22"/>
          <w:szCs w:val="22"/>
        </w:rPr>
        <w:t xml:space="preserve">«Οι υπόλογοι οφείλουν ως προς την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φύλαξιν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και την εν γένει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εξασφάλισιν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των παρ’ αυτών διαχειριζομένων χρημάτων να καταβάλλουν την ην και τοις ιδίοις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επιμέλειαν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, ευθυνόμενοι δια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πάσαν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τυχόν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επερχομένην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απώλειαν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ή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μείωσιν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των χρημάτων τούτων. </w:t>
      </w:r>
    </w:p>
    <w:p w:rsidR="009F5018" w:rsidRPr="009F5018" w:rsidRDefault="009F5018" w:rsidP="009F5018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i/>
          <w:sz w:val="22"/>
          <w:szCs w:val="22"/>
        </w:rPr>
        <w:t xml:space="preserve">Εάν τα ποσά των ενταλμάτων δεν πρόκειται να χρησιμοποιηθούν αμέσως υπό των υπολόγων άμα τη εξοφλήσει των θα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γίνηται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κατάθεσις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αυτών ή των μη χρησιμοποιηθέντων υπολοίπων εις την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Εθνικήν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Τράπεζαν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της Ελλάδος ή εις το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Ταχυδρομικόν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Ταμιευτήριον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εφ'όσον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λειτουργούν τοιαύτα εις την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έδραν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του δήμου. Οι υπόλογοι οφείλουν κατά την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απόδοσιν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του λογαριασμού να επισυνάψουν μετά των δικαιολογητικών και το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βιβλιάριον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της καταθέσεως και αναλήψεως Τραπέζης ή του Ταχυδρομικού Ταμιευτηρίου εν τω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οποίω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θα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αναγράφωνται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κεχωρισμένως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πάσαι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αι γενόμεναι καταθέσεις και αναλήψεις.»</w:t>
      </w:r>
    </w:p>
    <w:p w:rsidR="009F5018" w:rsidRDefault="009F5018" w:rsidP="009F5018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i/>
          <w:sz w:val="22"/>
          <w:szCs w:val="22"/>
        </w:rPr>
        <w:t xml:space="preserve">Με την υπ’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. 341/2024 απόφαση της Δημοτικής Επιτροπής εγκρίθηκε η έκδοση  χρηματικού εντάλματος προπληρωμής στο όνομα του υπάλληλου του Δήμου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κ Στάμου Λουκά - κλάδου Δ.Ε. Διοικητικού , ποσού 48</w:t>
      </w:r>
      <w:r w:rsidR="003F7E99">
        <w:rPr>
          <w:rFonts w:ascii="Arial" w:hAnsi="Arial" w:cs="Arial"/>
          <w:i/>
          <w:sz w:val="22"/>
          <w:szCs w:val="22"/>
        </w:rPr>
        <w:t>4,0</w:t>
      </w:r>
      <w:r w:rsidRPr="009F5018">
        <w:rPr>
          <w:rFonts w:ascii="Arial" w:hAnsi="Arial" w:cs="Arial"/>
          <w:i/>
          <w:sz w:val="22"/>
          <w:szCs w:val="22"/>
        </w:rPr>
        <w:t>0€ για πληρωμή</w:t>
      </w:r>
      <w:r w:rsidRPr="009F5018">
        <w:rPr>
          <w:rFonts w:ascii="Arial" w:hAnsi="Arial" w:cs="Arial"/>
          <w:b/>
          <w:bCs/>
          <w:i/>
          <w:sz w:val="22"/>
          <w:szCs w:val="22"/>
        </w:rPr>
        <w:t xml:space="preserve"> δαπάνης σύνδεσης </w:t>
      </w:r>
      <w:proofErr w:type="spellStart"/>
      <w:r w:rsidRPr="009F5018">
        <w:rPr>
          <w:rFonts w:ascii="Arial" w:hAnsi="Arial" w:cs="Arial"/>
          <w:b/>
          <w:bCs/>
          <w:i/>
          <w:sz w:val="22"/>
          <w:szCs w:val="22"/>
        </w:rPr>
        <w:t>φωτοβολταϊκού</w:t>
      </w:r>
      <w:proofErr w:type="spellEnd"/>
      <w:r w:rsidRPr="009F5018">
        <w:rPr>
          <w:rFonts w:ascii="Arial" w:hAnsi="Arial" w:cs="Arial"/>
          <w:b/>
          <w:bCs/>
          <w:i/>
          <w:sz w:val="22"/>
          <w:szCs w:val="22"/>
        </w:rPr>
        <w:t xml:space="preserve"> σταθμού του Δημαρχείου Λιβαδειάς με το δίκτυο</w:t>
      </w:r>
      <w:r w:rsidRPr="009F5018">
        <w:rPr>
          <w:rFonts w:ascii="Arial" w:hAnsi="Arial" w:cs="Arial"/>
          <w:i/>
          <w:sz w:val="22"/>
          <w:szCs w:val="22"/>
        </w:rPr>
        <w:t xml:space="preserve"> σε βάρος του κάτωθι Κ.Α. του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πρ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>/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σμού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του σκέλους των εξόδων του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οικ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έτους 2024 ήτοι:</w:t>
      </w:r>
    </w:p>
    <w:tbl>
      <w:tblPr>
        <w:tblpPr w:leftFromText="180" w:rightFromText="180" w:vertAnchor="text" w:horzAnchor="margin" w:tblpX="250" w:tblpY="27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1581"/>
        <w:gridCol w:w="3737"/>
        <w:gridCol w:w="1134"/>
        <w:gridCol w:w="2410"/>
      </w:tblGrid>
      <w:tr w:rsidR="003F7E99" w:rsidRPr="00470505" w:rsidTr="00971E3C">
        <w:trPr>
          <w:trHeight w:val="699"/>
        </w:trPr>
        <w:tc>
          <w:tcPr>
            <w:tcW w:w="602" w:type="dxa"/>
            <w:shd w:val="clear" w:color="auto" w:fill="99CC99"/>
          </w:tcPr>
          <w:p w:rsidR="003F7E99" w:rsidRPr="00961923" w:rsidRDefault="003F7E99" w:rsidP="00971E3C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96192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Α/Α</w:t>
            </w:r>
          </w:p>
        </w:tc>
        <w:tc>
          <w:tcPr>
            <w:tcW w:w="1581" w:type="dxa"/>
            <w:shd w:val="clear" w:color="auto" w:fill="99CC99"/>
          </w:tcPr>
          <w:p w:rsidR="003F7E99" w:rsidRPr="00961923" w:rsidRDefault="003F7E99" w:rsidP="00971E3C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96192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Κ.Α.</w:t>
            </w:r>
          </w:p>
        </w:tc>
        <w:tc>
          <w:tcPr>
            <w:tcW w:w="3737" w:type="dxa"/>
            <w:shd w:val="clear" w:color="auto" w:fill="99CC99"/>
          </w:tcPr>
          <w:p w:rsidR="003F7E99" w:rsidRPr="00961923" w:rsidRDefault="003F7E99" w:rsidP="00971E3C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96192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ΤΙΤΛΟΣ Κ.Α.</w:t>
            </w:r>
          </w:p>
        </w:tc>
        <w:tc>
          <w:tcPr>
            <w:tcW w:w="1134" w:type="dxa"/>
            <w:shd w:val="clear" w:color="auto" w:fill="99CC99"/>
          </w:tcPr>
          <w:p w:rsidR="003F7E99" w:rsidRPr="00961923" w:rsidRDefault="003F7E99" w:rsidP="00971E3C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96192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ΠΟΣΟ</w:t>
            </w:r>
          </w:p>
        </w:tc>
        <w:tc>
          <w:tcPr>
            <w:tcW w:w="2410" w:type="dxa"/>
            <w:shd w:val="clear" w:color="auto" w:fill="99CC99"/>
          </w:tcPr>
          <w:p w:rsidR="003F7E99" w:rsidRPr="00961923" w:rsidRDefault="003F7E99" w:rsidP="00971E3C">
            <w:pPr>
              <w:pStyle w:val="af8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6192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ΠΗΓΗ ΧΡΗΜΑΤΟΔΟΤΗΣΗΣ</w:t>
            </w:r>
          </w:p>
        </w:tc>
      </w:tr>
      <w:tr w:rsidR="003F7E99" w:rsidRPr="00094D84" w:rsidTr="00971E3C">
        <w:trPr>
          <w:trHeight w:val="988"/>
        </w:trPr>
        <w:tc>
          <w:tcPr>
            <w:tcW w:w="602" w:type="dxa"/>
            <w:shd w:val="clear" w:color="auto" w:fill="auto"/>
          </w:tcPr>
          <w:p w:rsidR="003F7E99" w:rsidRPr="00961923" w:rsidRDefault="003F7E99" w:rsidP="00971E3C">
            <w:pPr>
              <w:pStyle w:val="10"/>
              <w:tabs>
                <w:tab w:val="clear" w:pos="0"/>
              </w:tabs>
              <w:ind w:left="0" w:firstLine="0"/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bidi="hi-IN"/>
              </w:rPr>
            </w:pPr>
            <w:r w:rsidRPr="00961923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bidi="hi-IN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3F7E99" w:rsidRPr="00961923" w:rsidRDefault="003F7E99" w:rsidP="00971E3C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bidi="hi-IN"/>
              </w:rPr>
            </w:pPr>
            <w:r w:rsidRPr="00961923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bidi="hi-IN"/>
              </w:rPr>
              <w:t>10/6279.002</w:t>
            </w:r>
          </w:p>
        </w:tc>
        <w:tc>
          <w:tcPr>
            <w:tcW w:w="3737" w:type="dxa"/>
            <w:shd w:val="clear" w:color="auto" w:fill="auto"/>
          </w:tcPr>
          <w:p w:rsidR="003F7E99" w:rsidRPr="00961923" w:rsidRDefault="003F7E99" w:rsidP="00971E3C">
            <w:pPr>
              <w:pStyle w:val="af9"/>
              <w:ind w:left="0"/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bidi="hi-IN"/>
              </w:rPr>
            </w:pPr>
            <w:r w:rsidRPr="00961923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bidi="hi-IN"/>
              </w:rPr>
              <w:t xml:space="preserve">Δαπάνη σύνδεσης </w:t>
            </w:r>
            <w:proofErr w:type="spellStart"/>
            <w:r w:rsidRPr="00961923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bidi="hi-IN"/>
              </w:rPr>
              <w:t>φωτοβολταϊκού</w:t>
            </w:r>
            <w:proofErr w:type="spellEnd"/>
            <w:r w:rsidRPr="00961923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bidi="hi-IN"/>
              </w:rPr>
              <w:t xml:space="preserve"> σταθμού του Δημαρχείου Λιβαδειάς με το δίκτυο</w:t>
            </w:r>
          </w:p>
        </w:tc>
        <w:tc>
          <w:tcPr>
            <w:tcW w:w="1134" w:type="dxa"/>
            <w:shd w:val="clear" w:color="auto" w:fill="auto"/>
          </w:tcPr>
          <w:p w:rsidR="003F7E99" w:rsidRPr="00961923" w:rsidRDefault="003F7E99" w:rsidP="00971E3C">
            <w:pPr>
              <w:pStyle w:val="10"/>
              <w:numPr>
                <w:ilvl w:val="0"/>
                <w:numId w:val="0"/>
              </w:numPr>
              <w:tabs>
                <w:tab w:val="num" w:pos="141"/>
              </w:tabs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bidi="hi-IN"/>
              </w:rPr>
            </w:pPr>
            <w:r w:rsidRPr="00961923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bidi="hi-IN"/>
              </w:rPr>
              <w:t xml:space="preserve">   483,60€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7E99" w:rsidRPr="00961923" w:rsidRDefault="003F7E99" w:rsidP="00971E3C">
            <w:pPr>
              <w:pStyle w:val="af8"/>
              <w:jc w:val="center"/>
              <w:rPr>
                <w:rFonts w:ascii="Arial" w:eastAsia="Verdana" w:hAnsi="Arial" w:cs="Arial"/>
                <w:i/>
                <w:iCs/>
                <w:sz w:val="22"/>
                <w:szCs w:val="22"/>
              </w:rPr>
            </w:pPr>
            <w:r w:rsidRPr="00961923">
              <w:rPr>
                <w:rFonts w:ascii="Arial" w:eastAsia="Verdana" w:hAnsi="Arial" w:cs="Arial"/>
                <w:i/>
                <w:iCs/>
                <w:sz w:val="22"/>
                <w:szCs w:val="22"/>
              </w:rPr>
              <w:t xml:space="preserve">  Ίδιοι πόροι</w:t>
            </w:r>
          </w:p>
        </w:tc>
      </w:tr>
      <w:tr w:rsidR="003F7E99" w:rsidRPr="00094D84" w:rsidTr="00971E3C">
        <w:trPr>
          <w:trHeight w:val="542"/>
        </w:trPr>
        <w:tc>
          <w:tcPr>
            <w:tcW w:w="602" w:type="dxa"/>
            <w:shd w:val="clear" w:color="auto" w:fill="auto"/>
          </w:tcPr>
          <w:p w:rsidR="003F7E99" w:rsidRPr="00961923" w:rsidRDefault="003F7E99" w:rsidP="00971E3C">
            <w:pPr>
              <w:pStyle w:val="10"/>
              <w:tabs>
                <w:tab w:val="clear" w:pos="0"/>
              </w:tabs>
              <w:ind w:left="0" w:firstLine="0"/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bidi="hi-IN"/>
              </w:rPr>
            </w:pPr>
            <w:r w:rsidRPr="00961923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bidi="hi-IN"/>
              </w:rPr>
              <w:t>2</w:t>
            </w:r>
          </w:p>
        </w:tc>
        <w:tc>
          <w:tcPr>
            <w:tcW w:w="1581" w:type="dxa"/>
            <w:shd w:val="clear" w:color="auto" w:fill="auto"/>
          </w:tcPr>
          <w:p w:rsidR="003F7E99" w:rsidRPr="00F03ACB" w:rsidRDefault="003F7E99" w:rsidP="00971E3C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bidi="hi-IN"/>
              </w:rPr>
            </w:pPr>
            <w:r w:rsidRPr="00961923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val="en-US" w:bidi="hi-IN"/>
              </w:rPr>
              <w:t>00/65</w:t>
            </w:r>
            <w:r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bidi="hi-IN"/>
              </w:rPr>
              <w:t>15</w:t>
            </w:r>
          </w:p>
        </w:tc>
        <w:tc>
          <w:tcPr>
            <w:tcW w:w="3737" w:type="dxa"/>
            <w:shd w:val="clear" w:color="auto" w:fill="auto"/>
          </w:tcPr>
          <w:p w:rsidR="003F7E99" w:rsidRPr="00961923" w:rsidRDefault="003F7E99" w:rsidP="00971E3C">
            <w:pPr>
              <w:pStyle w:val="af9"/>
              <w:ind w:left="0"/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bidi="hi-IN"/>
              </w:rPr>
            </w:pPr>
            <w:r w:rsidRPr="00961923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bidi="hi-IN"/>
              </w:rPr>
              <w:t>Αμοιβές και προμήθειες τραπεζών</w:t>
            </w:r>
          </w:p>
        </w:tc>
        <w:tc>
          <w:tcPr>
            <w:tcW w:w="1134" w:type="dxa"/>
            <w:shd w:val="clear" w:color="auto" w:fill="auto"/>
          </w:tcPr>
          <w:p w:rsidR="003F7E99" w:rsidRPr="00961923" w:rsidRDefault="003F7E99" w:rsidP="00971E3C">
            <w:pPr>
              <w:pStyle w:val="10"/>
              <w:tabs>
                <w:tab w:val="num" w:pos="141"/>
              </w:tabs>
              <w:ind w:left="0"/>
              <w:jc w:val="center"/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bidi="hi-IN"/>
              </w:rPr>
            </w:pPr>
            <w:r w:rsidRPr="00961923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bidi="hi-IN"/>
              </w:rPr>
              <w:t xml:space="preserve">    </w:t>
            </w:r>
            <w:r w:rsidRPr="00961923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val="en-US" w:bidi="hi-IN"/>
              </w:rPr>
              <w:t>0</w:t>
            </w:r>
            <w:r w:rsidRPr="00961923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bidi="hi-IN"/>
              </w:rPr>
              <w:t>,</w:t>
            </w:r>
            <w:r w:rsidRPr="00961923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val="en-US" w:bidi="hi-IN"/>
              </w:rPr>
              <w:t>40</w:t>
            </w:r>
            <w:r w:rsidRPr="00961923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bidi="hi-IN"/>
              </w:rPr>
              <w:t>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7E99" w:rsidRPr="00961923" w:rsidRDefault="003F7E99" w:rsidP="00971E3C">
            <w:pPr>
              <w:pStyle w:val="af8"/>
              <w:jc w:val="center"/>
              <w:rPr>
                <w:rFonts w:ascii="Arial" w:eastAsia="Verdana" w:hAnsi="Arial" w:cs="Arial"/>
                <w:i/>
                <w:iCs/>
                <w:sz w:val="22"/>
                <w:szCs w:val="22"/>
              </w:rPr>
            </w:pPr>
            <w:r w:rsidRPr="00961923">
              <w:rPr>
                <w:rFonts w:ascii="Arial" w:eastAsia="Verdana" w:hAnsi="Arial" w:cs="Arial"/>
                <w:i/>
                <w:iCs/>
                <w:sz w:val="22"/>
                <w:szCs w:val="22"/>
              </w:rPr>
              <w:t>Ίδιοι πόροι</w:t>
            </w:r>
          </w:p>
        </w:tc>
      </w:tr>
      <w:tr w:rsidR="003F7E99" w:rsidRPr="00094D84" w:rsidTr="00971E3C">
        <w:trPr>
          <w:trHeight w:val="542"/>
        </w:trPr>
        <w:tc>
          <w:tcPr>
            <w:tcW w:w="602" w:type="dxa"/>
            <w:shd w:val="clear" w:color="auto" w:fill="auto"/>
          </w:tcPr>
          <w:p w:rsidR="003F7E99" w:rsidRPr="00961923" w:rsidRDefault="003F7E99" w:rsidP="00971E3C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581" w:type="dxa"/>
            <w:shd w:val="clear" w:color="auto" w:fill="auto"/>
          </w:tcPr>
          <w:p w:rsidR="003F7E99" w:rsidRPr="00961923" w:rsidRDefault="003F7E99" w:rsidP="00971E3C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b/>
                <w:i/>
                <w:iCs/>
                <w:kern w:val="1"/>
                <w:sz w:val="22"/>
                <w:szCs w:val="22"/>
                <w:lang w:bidi="hi-IN"/>
              </w:rPr>
            </w:pPr>
            <w:r w:rsidRPr="00961923">
              <w:rPr>
                <w:rFonts w:ascii="Arial" w:eastAsia="Verdana" w:hAnsi="Arial" w:cs="Arial"/>
                <w:b/>
                <w:i/>
                <w:iCs/>
                <w:kern w:val="1"/>
                <w:sz w:val="22"/>
                <w:szCs w:val="22"/>
                <w:lang w:bidi="hi-IN"/>
              </w:rPr>
              <w:t>Σύνολο</w:t>
            </w:r>
          </w:p>
        </w:tc>
        <w:tc>
          <w:tcPr>
            <w:tcW w:w="3737" w:type="dxa"/>
            <w:shd w:val="clear" w:color="auto" w:fill="auto"/>
          </w:tcPr>
          <w:p w:rsidR="003F7E99" w:rsidRPr="00961923" w:rsidRDefault="003F7E99" w:rsidP="00971E3C">
            <w:pPr>
              <w:pStyle w:val="af9"/>
              <w:ind w:left="0"/>
              <w:rPr>
                <w:rFonts w:ascii="Arial" w:eastAsia="Verdana" w:hAnsi="Arial" w:cs="Arial"/>
                <w:b/>
                <w:i/>
                <w:i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3F7E99" w:rsidRPr="00961923" w:rsidRDefault="003F7E99" w:rsidP="00971E3C">
            <w:pPr>
              <w:pStyle w:val="10"/>
              <w:numPr>
                <w:ilvl w:val="0"/>
                <w:numId w:val="0"/>
              </w:numPr>
              <w:tabs>
                <w:tab w:val="num" w:pos="141"/>
              </w:tabs>
              <w:rPr>
                <w:rFonts w:ascii="Arial" w:eastAsia="Verdana" w:hAnsi="Arial" w:cs="Arial"/>
                <w:b/>
                <w:i/>
                <w:iCs/>
                <w:kern w:val="1"/>
                <w:sz w:val="22"/>
                <w:szCs w:val="22"/>
                <w:lang w:bidi="hi-IN"/>
              </w:rPr>
            </w:pPr>
            <w:r w:rsidRPr="00961923">
              <w:rPr>
                <w:rFonts w:ascii="Arial" w:eastAsia="Verdana" w:hAnsi="Arial" w:cs="Arial"/>
                <w:b/>
                <w:i/>
                <w:iCs/>
                <w:kern w:val="1"/>
                <w:sz w:val="22"/>
                <w:szCs w:val="22"/>
                <w:lang w:bidi="hi-IN"/>
              </w:rPr>
              <w:t xml:space="preserve">    484,00€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7E99" w:rsidRPr="00961923" w:rsidRDefault="003F7E99" w:rsidP="00971E3C">
            <w:pPr>
              <w:pStyle w:val="af8"/>
              <w:jc w:val="center"/>
              <w:rPr>
                <w:rFonts w:ascii="Arial" w:eastAsia="Verdana" w:hAnsi="Arial" w:cs="Arial"/>
                <w:b/>
                <w:i/>
                <w:iCs/>
                <w:sz w:val="22"/>
                <w:szCs w:val="22"/>
              </w:rPr>
            </w:pPr>
          </w:p>
        </w:tc>
      </w:tr>
    </w:tbl>
    <w:p w:rsidR="003F7E99" w:rsidRPr="004F7EA3" w:rsidRDefault="003F7E99" w:rsidP="003F7E99">
      <w:pPr>
        <w:pStyle w:val="10"/>
        <w:numPr>
          <w:ilvl w:val="0"/>
          <w:numId w:val="0"/>
        </w:numPr>
        <w:spacing w:line="276" w:lineRule="auto"/>
        <w:jc w:val="both"/>
        <w:rPr>
          <w:rFonts w:asciiTheme="minorHAnsi" w:eastAsia="Verdana" w:hAnsiTheme="minorHAnsi" w:cstheme="minorHAnsi"/>
          <w:i/>
          <w:iCs/>
          <w:kern w:val="1"/>
          <w:highlight w:val="white"/>
          <w:lang w:bidi="hi-IN"/>
        </w:rPr>
      </w:pPr>
    </w:p>
    <w:p w:rsidR="009F5018" w:rsidRPr="009F5018" w:rsidRDefault="009F5018" w:rsidP="009F5018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eastAsia="Verdana" w:hAnsi="Arial" w:cs="Arial"/>
          <w:i/>
          <w:sz w:val="22"/>
          <w:szCs w:val="22"/>
        </w:rPr>
        <w:t xml:space="preserve"> </w:t>
      </w:r>
      <w:r w:rsidRPr="009F5018">
        <w:rPr>
          <w:rFonts w:ascii="Arial" w:hAnsi="Arial" w:cs="Arial"/>
          <w:i/>
          <w:sz w:val="22"/>
          <w:szCs w:val="22"/>
        </w:rPr>
        <w:t>Τέλος, στην ίδια απόφαση ορίστηκε ότι η απόδοση του λογαριασμού θα πρέπει να γίνει έως την 15/11/2024</w:t>
      </w:r>
    </w:p>
    <w:p w:rsidR="009F5018" w:rsidRPr="009F5018" w:rsidRDefault="009F5018" w:rsidP="009F5018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i/>
          <w:sz w:val="22"/>
          <w:szCs w:val="22"/>
        </w:rPr>
        <w:t xml:space="preserve">Σε εκτέλεση τω ανωτέρω εκδόθηκε το υπ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2155/2024 Χρηματικό Ένταλμα ποσού 48</w:t>
      </w:r>
      <w:r w:rsidR="003F7E99">
        <w:rPr>
          <w:rFonts w:ascii="Arial" w:hAnsi="Arial" w:cs="Arial"/>
          <w:i/>
          <w:sz w:val="22"/>
          <w:szCs w:val="22"/>
        </w:rPr>
        <w:t>4</w:t>
      </w:r>
      <w:r w:rsidRPr="009F5018">
        <w:rPr>
          <w:rFonts w:ascii="Arial" w:hAnsi="Arial" w:cs="Arial"/>
          <w:i/>
          <w:sz w:val="22"/>
          <w:szCs w:val="22"/>
        </w:rPr>
        <w:t>,</w:t>
      </w:r>
      <w:r w:rsidR="003F7E99">
        <w:rPr>
          <w:rFonts w:ascii="Arial" w:hAnsi="Arial" w:cs="Arial"/>
          <w:i/>
          <w:sz w:val="22"/>
          <w:szCs w:val="22"/>
        </w:rPr>
        <w:t>0</w:t>
      </w:r>
      <w:r w:rsidRPr="009F5018">
        <w:rPr>
          <w:rFonts w:ascii="Arial" w:hAnsi="Arial" w:cs="Arial"/>
          <w:i/>
          <w:sz w:val="22"/>
          <w:szCs w:val="22"/>
        </w:rPr>
        <w:t>0€.</w:t>
      </w:r>
    </w:p>
    <w:p w:rsidR="009F5018" w:rsidRPr="009F5018" w:rsidRDefault="009F5018" w:rsidP="009F5018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i/>
          <w:sz w:val="22"/>
          <w:szCs w:val="22"/>
        </w:rPr>
        <w:t>Δαπανήθηκε το ποσό των 48</w:t>
      </w:r>
      <w:r w:rsidR="003F7E99">
        <w:rPr>
          <w:rFonts w:ascii="Arial" w:hAnsi="Arial" w:cs="Arial"/>
          <w:i/>
          <w:sz w:val="22"/>
          <w:szCs w:val="22"/>
        </w:rPr>
        <w:t>4,00</w:t>
      </w:r>
      <w:r w:rsidRPr="009F5018">
        <w:rPr>
          <w:rFonts w:ascii="Arial" w:hAnsi="Arial" w:cs="Arial"/>
          <w:i/>
          <w:sz w:val="22"/>
          <w:szCs w:val="22"/>
        </w:rPr>
        <w:t>€ σύμφωνα με :</w:t>
      </w:r>
    </w:p>
    <w:p w:rsidR="009F5018" w:rsidRPr="009F5018" w:rsidRDefault="009F5018" w:rsidP="009F5018">
      <w:pPr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i/>
          <w:sz w:val="22"/>
          <w:szCs w:val="22"/>
        </w:rPr>
        <w:t xml:space="preserve">α1) την υπ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101574/01-10-2024 σύμβαση της ΔΕΔΔΗΕ Α.Ε και αφορά την σύνδεση και την παράλληλη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λειττουργεία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με το Δίκτυο ΜΤ του Φ/Β σταθμού του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αυτοπαραγωγού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εγκατεστημένης ισχύος 16,895 Κ</w:t>
      </w:r>
      <w:r w:rsidRPr="009F5018">
        <w:rPr>
          <w:rFonts w:ascii="Arial" w:hAnsi="Arial" w:cs="Arial"/>
          <w:i/>
          <w:sz w:val="22"/>
          <w:szCs w:val="22"/>
          <w:lang w:val="en-US"/>
        </w:rPr>
        <w:t>W</w:t>
      </w:r>
      <w:r w:rsidRPr="009F5018">
        <w:rPr>
          <w:rFonts w:ascii="Arial" w:hAnsi="Arial" w:cs="Arial"/>
          <w:i/>
          <w:sz w:val="22"/>
          <w:szCs w:val="22"/>
        </w:rPr>
        <w:t xml:space="preserve"> με αριθμό παροχής 4-84600729, ευρισκόμενου στην θέση Πλατεία Λάμπρου </w:t>
      </w:r>
      <w:r w:rsidRPr="009F5018">
        <w:rPr>
          <w:rFonts w:ascii="Arial" w:hAnsi="Arial" w:cs="Arial"/>
          <w:i/>
          <w:sz w:val="22"/>
          <w:szCs w:val="22"/>
        </w:rPr>
        <w:lastRenderedPageBreak/>
        <w:t xml:space="preserve">Κατσώνη  ΛΙΒΑΔΕΙΑ, Τ.Κ.32131.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επικαιροποιημένη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προσφορά στην οποία αναφέρεται το ποσό των 483,60€ συμπεριλαμβανομένου ΦΠΑ 24%, που πρέπει να καταβληθεί υπέρ της ΔΕΔΔΗΕ Α.Ε</w:t>
      </w:r>
    </w:p>
    <w:p w:rsidR="009F5018" w:rsidRPr="009F5018" w:rsidRDefault="009F5018" w:rsidP="009F5018">
      <w:pPr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i/>
          <w:sz w:val="22"/>
          <w:szCs w:val="22"/>
        </w:rPr>
        <w:t xml:space="preserve">α2) την σχετική «ΑΠΟΔΕΙΞΗ ΣΥΝΑΛΛΑΓΗΣ» της Τράπεζας Πειραιώς με κωδικό αναφοράς συναλλαγής  ΡΧ242750481/01-10-2024 και </w:t>
      </w:r>
    </w:p>
    <w:p w:rsidR="009F5018" w:rsidRPr="009F5018" w:rsidRDefault="009F5018" w:rsidP="009F5018">
      <w:pPr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i/>
          <w:sz w:val="22"/>
          <w:szCs w:val="22"/>
        </w:rPr>
        <w:t xml:space="preserve">α3) το υπ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Β 0044581/08-10-2024 τιμολόγιο παροχής υπηρεσιών της ΔΕΔΔΗΕ Α.Ε. , ποσού 483,60€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συμπ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>/νου του ΦΠΑ 24% .</w:t>
      </w:r>
    </w:p>
    <w:p w:rsidR="009F5018" w:rsidRPr="009F5018" w:rsidRDefault="009F5018" w:rsidP="009F5018">
      <w:pPr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i/>
          <w:sz w:val="22"/>
          <w:szCs w:val="22"/>
        </w:rPr>
        <w:t xml:space="preserve">και </w:t>
      </w:r>
    </w:p>
    <w:p w:rsidR="009F5018" w:rsidRPr="009F5018" w:rsidRDefault="009F5018" w:rsidP="009F5018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i/>
          <w:sz w:val="22"/>
          <w:szCs w:val="22"/>
        </w:rPr>
        <w:t xml:space="preserve">Λαμβάνοντας υπόψη τα ανωτέρω καθώς και </w:t>
      </w:r>
    </w:p>
    <w:p w:rsidR="009F5018" w:rsidRPr="009F5018" w:rsidRDefault="009F5018" w:rsidP="009F5018">
      <w:pPr>
        <w:numPr>
          <w:ilvl w:val="0"/>
          <w:numId w:val="2"/>
        </w:numPr>
        <w:tabs>
          <w:tab w:val="clear" w:pos="0"/>
          <w:tab w:val="num" w:pos="420"/>
        </w:tabs>
        <w:spacing w:line="360" w:lineRule="auto"/>
        <w:ind w:left="0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i/>
          <w:sz w:val="22"/>
          <w:szCs w:val="22"/>
        </w:rPr>
        <w:t>τα άρθρα 32,33,34 και 37 του Β.Δ. 17-5/15-6-59 (ΦΕΚ 114/59 τεύχος Α')</w:t>
      </w:r>
    </w:p>
    <w:p w:rsidR="009F5018" w:rsidRPr="009F5018" w:rsidRDefault="009F5018" w:rsidP="009F5018">
      <w:pPr>
        <w:numPr>
          <w:ilvl w:val="0"/>
          <w:numId w:val="2"/>
        </w:numPr>
        <w:tabs>
          <w:tab w:val="clear" w:pos="0"/>
          <w:tab w:val="num" w:pos="420"/>
        </w:tabs>
        <w:spacing w:line="360" w:lineRule="auto"/>
        <w:ind w:left="0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i/>
          <w:sz w:val="22"/>
          <w:szCs w:val="22"/>
        </w:rPr>
        <w:t xml:space="preserve">Τις διατάξεις του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άρθ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172 του Ν. 3463/2006</w:t>
      </w:r>
    </w:p>
    <w:p w:rsidR="009F5018" w:rsidRPr="009F5018" w:rsidRDefault="009F5018" w:rsidP="009F5018">
      <w:pPr>
        <w:numPr>
          <w:ilvl w:val="0"/>
          <w:numId w:val="2"/>
        </w:numPr>
        <w:tabs>
          <w:tab w:val="clear" w:pos="0"/>
          <w:tab w:val="num" w:pos="420"/>
        </w:tabs>
        <w:spacing w:line="360" w:lineRule="auto"/>
        <w:ind w:left="0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i/>
          <w:sz w:val="22"/>
          <w:szCs w:val="22"/>
        </w:rPr>
        <w:t xml:space="preserve">Το </w:t>
      </w:r>
      <w:proofErr w:type="spellStart"/>
      <w:r w:rsidRPr="009F5018">
        <w:rPr>
          <w:rFonts w:ascii="Arial" w:hAnsi="Arial" w:cs="Arial"/>
          <w:i/>
          <w:sz w:val="22"/>
          <w:szCs w:val="22"/>
        </w:rPr>
        <w:t>άρθ</w:t>
      </w:r>
      <w:proofErr w:type="spellEnd"/>
      <w:r w:rsidRPr="009F5018">
        <w:rPr>
          <w:rFonts w:ascii="Arial" w:hAnsi="Arial" w:cs="Arial"/>
          <w:i/>
          <w:sz w:val="22"/>
          <w:szCs w:val="22"/>
        </w:rPr>
        <w:t xml:space="preserve"> 72 του Ν. 3852/2010</w:t>
      </w:r>
    </w:p>
    <w:p w:rsidR="009F5018" w:rsidRPr="009F5018" w:rsidRDefault="009F5018" w:rsidP="009F5018">
      <w:pPr>
        <w:numPr>
          <w:ilvl w:val="0"/>
          <w:numId w:val="2"/>
        </w:numPr>
        <w:tabs>
          <w:tab w:val="clear" w:pos="0"/>
          <w:tab w:val="num" w:pos="420"/>
        </w:tabs>
        <w:spacing w:line="360" w:lineRule="auto"/>
        <w:ind w:left="0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i/>
          <w:sz w:val="22"/>
          <w:szCs w:val="22"/>
        </w:rPr>
        <w:t xml:space="preserve">τα δικαιολογητικά τα οποία κατέθεσα για την απόδοση του λογαριασμού </w:t>
      </w:r>
    </w:p>
    <w:p w:rsidR="009F5018" w:rsidRPr="009F5018" w:rsidRDefault="009F5018" w:rsidP="009F5018">
      <w:pPr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b/>
          <w:i/>
          <w:sz w:val="22"/>
          <w:szCs w:val="22"/>
        </w:rPr>
        <w:t xml:space="preserve">Καλείται η Οικονομική Επιτροπή </w:t>
      </w:r>
    </w:p>
    <w:p w:rsidR="009F5018" w:rsidRPr="009F5018" w:rsidRDefault="009F5018" w:rsidP="009F5018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9F5018" w:rsidRPr="009F5018" w:rsidRDefault="009F5018" w:rsidP="009F5018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F5018">
        <w:rPr>
          <w:rFonts w:ascii="Arial" w:hAnsi="Arial" w:cs="Arial"/>
          <w:i/>
          <w:sz w:val="22"/>
          <w:szCs w:val="22"/>
        </w:rPr>
        <w:t>1. Να εγκρίνει την απόδοση λογαριασμού μαζί με τα σχετικά δικαιολογητικά  τα οποία επισυνάπτονται και αποτελούν αναπόσπαστο μέρος της παρούσας απόφασης</w:t>
      </w:r>
    </w:p>
    <w:p w:rsidR="009F5018" w:rsidRPr="009F5018" w:rsidRDefault="009F5018" w:rsidP="009F5018">
      <w:pPr>
        <w:spacing w:line="360" w:lineRule="auto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9F5018">
        <w:rPr>
          <w:rFonts w:ascii="Arial" w:hAnsi="Arial" w:cs="Arial"/>
          <w:i/>
          <w:sz w:val="22"/>
          <w:szCs w:val="22"/>
        </w:rPr>
        <w:t>2. Να απαλλάξει τον  Στάμου Λουκά από υπόλογο του ποσού των 48</w:t>
      </w:r>
      <w:r w:rsidR="003F7E99">
        <w:rPr>
          <w:rFonts w:ascii="Arial" w:hAnsi="Arial" w:cs="Arial"/>
          <w:i/>
          <w:sz w:val="22"/>
          <w:szCs w:val="22"/>
        </w:rPr>
        <w:t>4</w:t>
      </w:r>
      <w:r w:rsidRPr="009F5018">
        <w:rPr>
          <w:rFonts w:ascii="Arial" w:hAnsi="Arial" w:cs="Arial"/>
          <w:i/>
          <w:sz w:val="22"/>
          <w:szCs w:val="22"/>
        </w:rPr>
        <w:t>,</w:t>
      </w:r>
      <w:r w:rsidR="003F7E99">
        <w:rPr>
          <w:rFonts w:ascii="Arial" w:hAnsi="Arial" w:cs="Arial"/>
          <w:i/>
          <w:sz w:val="22"/>
          <w:szCs w:val="22"/>
        </w:rPr>
        <w:t>0</w:t>
      </w:r>
      <w:r w:rsidRPr="009F5018">
        <w:rPr>
          <w:rFonts w:ascii="Arial" w:hAnsi="Arial" w:cs="Arial"/>
          <w:i/>
          <w:sz w:val="22"/>
          <w:szCs w:val="22"/>
        </w:rPr>
        <w:t>0€ το οποίο είχε διατεθεί για πληρωμή δαπάνης «</w:t>
      </w:r>
      <w:r w:rsidRPr="009F5018">
        <w:rPr>
          <w:rFonts w:ascii="Arial" w:hAnsi="Arial" w:cs="Arial"/>
          <w:b/>
          <w:bCs/>
          <w:i/>
          <w:sz w:val="22"/>
          <w:szCs w:val="22"/>
        </w:rPr>
        <w:t xml:space="preserve">για την πληρωμή δαπάνης σύνδεσης </w:t>
      </w:r>
      <w:proofErr w:type="spellStart"/>
      <w:r w:rsidRPr="009F5018">
        <w:rPr>
          <w:rFonts w:ascii="Arial" w:hAnsi="Arial" w:cs="Arial"/>
          <w:b/>
          <w:bCs/>
          <w:i/>
          <w:sz w:val="22"/>
          <w:szCs w:val="22"/>
        </w:rPr>
        <w:t>φωτοβολταϊκού</w:t>
      </w:r>
      <w:proofErr w:type="spellEnd"/>
      <w:r w:rsidRPr="009F5018">
        <w:rPr>
          <w:rFonts w:ascii="Arial" w:hAnsi="Arial" w:cs="Arial"/>
          <w:b/>
          <w:bCs/>
          <w:i/>
          <w:sz w:val="22"/>
          <w:szCs w:val="22"/>
        </w:rPr>
        <w:t xml:space="preserve"> σταθμού του Δημαρχείου Λιβαδειάς με το δίκτυο</w:t>
      </w:r>
      <w:r w:rsidRPr="009F5018">
        <w:rPr>
          <w:rFonts w:ascii="Arial" w:hAnsi="Arial" w:cs="Arial"/>
          <w:i/>
          <w:sz w:val="22"/>
          <w:szCs w:val="22"/>
        </w:rPr>
        <w:t xml:space="preserve"> </w:t>
      </w:r>
      <w:r w:rsidRPr="009F501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F5018">
        <w:rPr>
          <w:rFonts w:ascii="Arial" w:hAnsi="Arial" w:cs="Arial"/>
          <w:b/>
          <w:i/>
          <w:sz w:val="22"/>
          <w:szCs w:val="22"/>
        </w:rPr>
        <w:t>ποσού  48</w:t>
      </w:r>
      <w:r w:rsidR="003F7E99">
        <w:rPr>
          <w:rFonts w:ascii="Arial" w:hAnsi="Arial" w:cs="Arial"/>
          <w:b/>
          <w:i/>
          <w:sz w:val="22"/>
          <w:szCs w:val="22"/>
        </w:rPr>
        <w:t>4</w:t>
      </w:r>
      <w:r w:rsidRPr="009F5018">
        <w:rPr>
          <w:rFonts w:ascii="Arial" w:hAnsi="Arial" w:cs="Arial"/>
          <w:b/>
          <w:i/>
          <w:sz w:val="22"/>
          <w:szCs w:val="22"/>
        </w:rPr>
        <w:t>,</w:t>
      </w:r>
      <w:r w:rsidR="003F7E99">
        <w:rPr>
          <w:rFonts w:ascii="Arial" w:hAnsi="Arial" w:cs="Arial"/>
          <w:b/>
          <w:i/>
          <w:sz w:val="22"/>
          <w:szCs w:val="22"/>
        </w:rPr>
        <w:t>0</w:t>
      </w:r>
      <w:r w:rsidRPr="009F5018">
        <w:rPr>
          <w:rFonts w:ascii="Arial" w:hAnsi="Arial" w:cs="Arial"/>
          <w:b/>
          <w:i/>
          <w:sz w:val="22"/>
          <w:szCs w:val="22"/>
        </w:rPr>
        <w:t>0€.</w:t>
      </w:r>
    </w:p>
    <w:p w:rsidR="00FF29D3" w:rsidRPr="00C8655A" w:rsidRDefault="00C8655A" w:rsidP="00432FEB">
      <w:pPr>
        <w:rPr>
          <w:rFonts w:ascii="Arial" w:hAnsi="Arial" w:cs="Arial"/>
          <w:sz w:val="22"/>
          <w:szCs w:val="22"/>
        </w:rPr>
      </w:pPr>
      <w:r w:rsidRPr="00C8655A">
        <w:rPr>
          <w:rFonts w:ascii="Arial" w:hAnsi="Arial" w:cs="Arial"/>
          <w:sz w:val="22"/>
          <w:szCs w:val="22"/>
        </w:rPr>
        <w:t xml:space="preserve"> </w:t>
      </w:r>
      <w:r w:rsidR="00432FEB" w:rsidRPr="00C8655A">
        <w:rPr>
          <w:rFonts w:ascii="Arial" w:hAnsi="Arial" w:cs="Arial"/>
          <w:sz w:val="22"/>
          <w:szCs w:val="22"/>
        </w:rPr>
        <w:t xml:space="preserve"> </w:t>
      </w:r>
      <w:r w:rsidR="00FF29D3" w:rsidRPr="00C8655A">
        <w:rPr>
          <w:rFonts w:ascii="Arial" w:eastAsia="Calibri Light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6557F3" w:rsidRPr="00C8655A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8655A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075B18" w:rsidRDefault="00075B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E10218" w:rsidRPr="008D226F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</w:t>
      </w:r>
    </w:p>
    <w:p w:rsidR="00100901" w:rsidRPr="008D226F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</w:t>
      </w:r>
      <w:r w:rsidRPr="008D226F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8D226F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624C3E" w:rsidRDefault="00624C3E" w:rsidP="00624C3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624C3E" w:rsidRDefault="00624C3E" w:rsidP="00624C3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C19E4">
        <w:rPr>
          <w:rFonts w:ascii="Arial" w:hAnsi="Arial" w:cs="Arial"/>
          <w:sz w:val="22"/>
          <w:szCs w:val="22"/>
        </w:rPr>
        <w:t>του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άρθρου 74</w:t>
      </w:r>
      <w:r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624C3E" w:rsidRPr="009F3590" w:rsidRDefault="00624C3E" w:rsidP="00624C3E">
      <w:pPr>
        <w:tabs>
          <w:tab w:val="left" w:pos="559"/>
          <w:tab w:val="left" w:pos="1555"/>
        </w:tabs>
        <w:spacing w:line="276" w:lineRule="auto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-Τις  διατάξεις των άρθρων  32-33-34 και 37του Β.Δ. 17-5/15-6-59 (ΦΕΚ 114/59 τεύχος Α)'</w:t>
      </w:r>
      <w:r w:rsidRPr="009F3590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624C3E" w:rsidRPr="009F3590" w:rsidRDefault="00624C3E" w:rsidP="00624C3E">
      <w:pPr>
        <w:suppressAutoHyphens w:val="0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-Τις διατάξεις του άρθρου 172 του Ν. 3463/2006</w:t>
      </w:r>
    </w:p>
    <w:p w:rsidR="00624C3E" w:rsidRPr="009F3590" w:rsidRDefault="00624C3E" w:rsidP="00624C3E">
      <w:pPr>
        <w:suppressAutoHyphens w:val="0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 xml:space="preserve">-Την  αριθ. </w:t>
      </w:r>
      <w:r w:rsidR="006708B9">
        <w:rPr>
          <w:rFonts w:ascii="Arial" w:hAnsi="Arial" w:cs="Arial"/>
          <w:sz w:val="22"/>
          <w:szCs w:val="22"/>
        </w:rPr>
        <w:t>341</w:t>
      </w:r>
      <w:r w:rsidRPr="009F3590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9F3590">
        <w:rPr>
          <w:rFonts w:ascii="Arial" w:eastAsia="Verdana" w:hAnsi="Arial" w:cs="Arial"/>
          <w:bCs/>
          <w:color w:val="00000A"/>
          <w:sz w:val="22"/>
          <w:szCs w:val="22"/>
        </w:rPr>
        <w:t xml:space="preserve">  απόφασή  της</w:t>
      </w:r>
      <w:r w:rsidRPr="009F3590">
        <w:rPr>
          <w:rFonts w:ascii="Arial" w:eastAsia="Verdana" w:hAnsi="Arial" w:cs="Arial"/>
          <w:sz w:val="22"/>
          <w:szCs w:val="22"/>
        </w:rPr>
        <w:t xml:space="preserve"> </w:t>
      </w:r>
    </w:p>
    <w:p w:rsidR="00624C3E" w:rsidRDefault="00624C3E" w:rsidP="00624C3E">
      <w:pPr>
        <w:suppressAutoHyphens w:val="0"/>
        <w:rPr>
          <w:rFonts w:ascii="Arial" w:eastAsia="Verdana" w:hAnsi="Arial" w:cs="Arial"/>
          <w:sz w:val="22"/>
          <w:szCs w:val="22"/>
        </w:rPr>
      </w:pPr>
      <w:r w:rsidRPr="009F3590">
        <w:rPr>
          <w:rFonts w:ascii="Arial" w:eastAsia="Verdana" w:hAnsi="Arial" w:cs="Arial"/>
          <w:sz w:val="22"/>
          <w:szCs w:val="22"/>
        </w:rPr>
        <w:t xml:space="preserve">-Το </w:t>
      </w:r>
      <w:proofErr w:type="spellStart"/>
      <w:r w:rsidRPr="009F3590">
        <w:rPr>
          <w:rFonts w:ascii="Arial" w:eastAsia="Verdana" w:hAnsi="Arial" w:cs="Arial"/>
          <w:sz w:val="22"/>
          <w:szCs w:val="22"/>
        </w:rPr>
        <w:t>υπ΄αριθμ</w:t>
      </w:r>
      <w:proofErr w:type="spellEnd"/>
      <w:r w:rsidRPr="009F3590">
        <w:rPr>
          <w:rFonts w:ascii="Arial" w:eastAsia="Verdana" w:hAnsi="Arial" w:cs="Arial"/>
          <w:sz w:val="22"/>
          <w:szCs w:val="22"/>
        </w:rPr>
        <w:t xml:space="preserve">. </w:t>
      </w:r>
      <w:r>
        <w:rPr>
          <w:rFonts w:ascii="Arial" w:eastAsia="Verdana" w:hAnsi="Arial" w:cs="Arial"/>
          <w:sz w:val="22"/>
          <w:szCs w:val="22"/>
        </w:rPr>
        <w:t>2</w:t>
      </w:r>
      <w:r w:rsidR="006708B9">
        <w:rPr>
          <w:rFonts w:ascii="Arial" w:eastAsia="Verdana" w:hAnsi="Arial" w:cs="Arial"/>
          <w:sz w:val="22"/>
          <w:szCs w:val="22"/>
        </w:rPr>
        <w:t>155</w:t>
      </w:r>
      <w:r>
        <w:rPr>
          <w:rFonts w:ascii="Arial" w:eastAsia="SimSun" w:hAnsi="Arial" w:cs="Arial"/>
          <w:sz w:val="22"/>
          <w:szCs w:val="22"/>
          <w:highlight w:val="white"/>
        </w:rPr>
        <w:t>/2024</w:t>
      </w:r>
      <w:r w:rsidRPr="009F3590">
        <w:rPr>
          <w:rFonts w:ascii="Arial" w:eastAsia="SimSun" w:hAnsi="Arial" w:cs="Arial"/>
          <w:sz w:val="22"/>
          <w:szCs w:val="22"/>
          <w:highlight w:val="white"/>
        </w:rPr>
        <w:t xml:space="preserve"> </w:t>
      </w:r>
      <w:r w:rsidRPr="009F3590">
        <w:rPr>
          <w:rFonts w:ascii="Arial" w:eastAsia="Verdana" w:hAnsi="Arial" w:cs="Arial"/>
          <w:sz w:val="22"/>
          <w:szCs w:val="22"/>
        </w:rPr>
        <w:t xml:space="preserve">χρηματικό ένταλμα προπληρωμής </w:t>
      </w:r>
    </w:p>
    <w:p w:rsidR="00624C3E" w:rsidRPr="009F3590" w:rsidRDefault="00624C3E" w:rsidP="00624C3E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-</w:t>
      </w:r>
      <w:r w:rsidRPr="009F3590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</w:t>
      </w:r>
      <w:r w:rsidRPr="009F3590">
        <w:rPr>
          <w:rFonts w:ascii="Arial" w:hAnsi="Arial" w:cs="Arial"/>
          <w:sz w:val="22"/>
          <w:szCs w:val="22"/>
        </w:rPr>
        <w:t xml:space="preserve">Το </w:t>
      </w:r>
      <w:proofErr w:type="spellStart"/>
      <w:r w:rsidRPr="009F3590">
        <w:rPr>
          <w:rFonts w:ascii="Arial" w:hAnsi="Arial" w:cs="Arial"/>
          <w:sz w:val="22"/>
          <w:szCs w:val="22"/>
        </w:rPr>
        <w:t>υπ΄αριθ</w:t>
      </w:r>
      <w:proofErr w:type="spellEnd"/>
      <w:r w:rsidRPr="009F359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F3590">
        <w:rPr>
          <w:rFonts w:ascii="Arial" w:hAnsi="Arial" w:cs="Arial"/>
          <w:sz w:val="22"/>
          <w:szCs w:val="22"/>
        </w:rPr>
        <w:t>πρωτ</w:t>
      </w:r>
      <w:proofErr w:type="spellEnd"/>
      <w:r w:rsidRPr="009F3590">
        <w:rPr>
          <w:rFonts w:ascii="Arial" w:hAnsi="Arial" w:cs="Arial"/>
          <w:sz w:val="22"/>
          <w:szCs w:val="22"/>
        </w:rPr>
        <w:t xml:space="preserve">. </w:t>
      </w:r>
      <w:r w:rsidR="006708B9">
        <w:rPr>
          <w:rFonts w:ascii="Arial" w:hAnsi="Arial" w:cs="Arial"/>
          <w:sz w:val="22"/>
          <w:szCs w:val="22"/>
        </w:rPr>
        <w:t>21276</w:t>
      </w:r>
      <w:r w:rsidRPr="009F3590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</w:t>
      </w:r>
      <w:r w:rsidR="006708B9">
        <w:rPr>
          <w:rFonts w:ascii="Arial" w:eastAsia="Arial" w:hAnsi="Arial" w:cs="Arial"/>
          <w:sz w:val="22"/>
          <w:szCs w:val="22"/>
        </w:rPr>
        <w:t>2</w:t>
      </w:r>
      <w:r w:rsidRPr="009F3590">
        <w:rPr>
          <w:rFonts w:ascii="Arial" w:eastAsia="Arial" w:hAnsi="Arial" w:cs="Arial"/>
          <w:sz w:val="22"/>
          <w:szCs w:val="22"/>
        </w:rPr>
        <w:t>-</w:t>
      </w:r>
      <w:r w:rsidR="006708B9">
        <w:rPr>
          <w:rFonts w:ascii="Arial" w:eastAsia="Arial" w:hAnsi="Arial" w:cs="Arial"/>
          <w:sz w:val="22"/>
          <w:szCs w:val="22"/>
        </w:rPr>
        <w:t>10</w:t>
      </w:r>
      <w:r w:rsidRPr="009F3590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4</w:t>
      </w:r>
      <w:r w:rsidRPr="009F3590">
        <w:rPr>
          <w:rFonts w:ascii="Arial" w:eastAsia="Arial" w:hAnsi="Arial" w:cs="Arial"/>
          <w:b/>
          <w:sz w:val="22"/>
          <w:szCs w:val="22"/>
        </w:rPr>
        <w:t xml:space="preserve"> </w:t>
      </w:r>
      <w:r w:rsidRPr="009F3590">
        <w:rPr>
          <w:rFonts w:ascii="Arial" w:hAnsi="Arial" w:cs="Arial"/>
          <w:sz w:val="22"/>
          <w:szCs w:val="22"/>
        </w:rPr>
        <w:t xml:space="preserve">έγγραφο  με τα δικαιολογητικά που κατέθεσε </w:t>
      </w:r>
      <w:r>
        <w:rPr>
          <w:rFonts w:ascii="Arial" w:hAnsi="Arial" w:cs="Arial"/>
          <w:sz w:val="22"/>
          <w:szCs w:val="22"/>
        </w:rPr>
        <w:t>ο</w:t>
      </w:r>
      <w:r w:rsidRPr="009F3590">
        <w:rPr>
          <w:rFonts w:ascii="Arial" w:hAnsi="Arial" w:cs="Arial"/>
          <w:sz w:val="22"/>
          <w:szCs w:val="22"/>
        </w:rPr>
        <w:t xml:space="preserve"> υπόλογος   δημοτικ</w:t>
      </w:r>
      <w:r>
        <w:rPr>
          <w:rFonts w:ascii="Arial" w:hAnsi="Arial" w:cs="Arial"/>
          <w:sz w:val="22"/>
          <w:szCs w:val="22"/>
        </w:rPr>
        <w:t xml:space="preserve">ός </w:t>
      </w:r>
      <w:r w:rsidRPr="009F3590">
        <w:rPr>
          <w:rFonts w:ascii="Arial" w:hAnsi="Arial" w:cs="Arial"/>
          <w:sz w:val="22"/>
          <w:szCs w:val="22"/>
        </w:rPr>
        <w:t xml:space="preserve">  υπάλληλος  </w:t>
      </w:r>
      <w:r>
        <w:rPr>
          <w:rFonts w:ascii="Arial" w:hAnsi="Arial" w:cs="Arial"/>
          <w:sz w:val="22"/>
          <w:szCs w:val="22"/>
        </w:rPr>
        <w:t xml:space="preserve">κ. </w:t>
      </w:r>
      <w:r w:rsidR="006708B9">
        <w:rPr>
          <w:rFonts w:ascii="Arial" w:hAnsi="Arial" w:cs="Arial"/>
          <w:sz w:val="22"/>
          <w:szCs w:val="22"/>
        </w:rPr>
        <w:t>Στάμου Λουκάς</w:t>
      </w:r>
      <w:r w:rsidRPr="009F3590">
        <w:rPr>
          <w:rFonts w:ascii="Arial" w:hAnsi="Arial" w:cs="Arial"/>
          <w:sz w:val="22"/>
          <w:szCs w:val="22"/>
        </w:rPr>
        <w:t xml:space="preserve">   για την απόδοση του λογαριασμού </w:t>
      </w:r>
      <w:r>
        <w:rPr>
          <w:rFonts w:ascii="Arial" w:hAnsi="Arial" w:cs="Arial"/>
          <w:sz w:val="22"/>
          <w:szCs w:val="22"/>
        </w:rPr>
        <w:t xml:space="preserve">, </w:t>
      </w:r>
      <w:r w:rsidRPr="009F3590">
        <w:rPr>
          <w:rFonts w:ascii="Arial" w:hAnsi="Arial" w:cs="Arial"/>
          <w:sz w:val="22"/>
          <w:szCs w:val="22"/>
        </w:rPr>
        <w:t xml:space="preserve"> που είχε  διανεμηθεί </w:t>
      </w:r>
    </w:p>
    <w:p w:rsidR="00624C3E" w:rsidRPr="009F3590" w:rsidRDefault="00624C3E" w:rsidP="00624C3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624C3E" w:rsidRPr="009F3590" w:rsidRDefault="00624C3E" w:rsidP="00624C3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624C3E" w:rsidRPr="009F3590" w:rsidRDefault="00624C3E" w:rsidP="00624C3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624C3E" w:rsidRPr="009F3590" w:rsidRDefault="00624C3E" w:rsidP="003F7E99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3590">
        <w:rPr>
          <w:rFonts w:ascii="Arial" w:hAnsi="Arial" w:cs="Arial"/>
          <w:b/>
          <w:sz w:val="22"/>
          <w:szCs w:val="22"/>
        </w:rPr>
        <w:t xml:space="preserve">                                                      ΑΠΟΦΑΣΙΖΕΙ  ΟΜΟΦΩΝΑ</w:t>
      </w:r>
    </w:p>
    <w:p w:rsidR="00624C3E" w:rsidRPr="009F3590" w:rsidRDefault="00624C3E" w:rsidP="00624C3E">
      <w:pPr>
        <w:ind w:left="808"/>
        <w:jc w:val="both"/>
        <w:rPr>
          <w:rFonts w:ascii="Arial" w:hAnsi="Arial" w:cs="Arial"/>
          <w:b/>
          <w:sz w:val="22"/>
          <w:szCs w:val="22"/>
        </w:rPr>
      </w:pPr>
    </w:p>
    <w:p w:rsidR="00624C3E" w:rsidRPr="009F3D37" w:rsidRDefault="00624C3E" w:rsidP="00624C3E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9F3D37">
        <w:rPr>
          <w:rFonts w:ascii="Arial" w:hAnsi="Arial" w:cs="Arial"/>
          <w:sz w:val="22"/>
          <w:szCs w:val="22"/>
        </w:rPr>
        <w:t xml:space="preserve">   Α)Εγκρίνει την απόδοση λογαριασμού έτσι όπως υποβλήθηκε  με  το  αριθ. </w:t>
      </w:r>
      <w:proofErr w:type="spellStart"/>
      <w:r w:rsidRPr="009F3D37">
        <w:rPr>
          <w:rFonts w:ascii="Arial" w:hAnsi="Arial" w:cs="Arial"/>
          <w:sz w:val="22"/>
          <w:szCs w:val="22"/>
        </w:rPr>
        <w:t>πρωτ</w:t>
      </w:r>
      <w:proofErr w:type="spellEnd"/>
      <w:r w:rsidR="006708B9">
        <w:rPr>
          <w:rFonts w:ascii="Arial" w:hAnsi="Arial" w:cs="Arial"/>
          <w:sz w:val="22"/>
          <w:szCs w:val="22"/>
        </w:rPr>
        <w:t>. 21276</w:t>
      </w:r>
      <w:r w:rsidR="006708B9" w:rsidRPr="009F3590">
        <w:rPr>
          <w:rFonts w:ascii="Arial" w:eastAsia="Arial" w:hAnsi="Arial" w:cs="Arial"/>
          <w:sz w:val="22"/>
          <w:szCs w:val="22"/>
        </w:rPr>
        <w:t>/</w:t>
      </w:r>
      <w:r w:rsidR="006708B9">
        <w:rPr>
          <w:rFonts w:ascii="Arial" w:eastAsia="Arial" w:hAnsi="Arial" w:cs="Arial"/>
          <w:sz w:val="22"/>
          <w:szCs w:val="22"/>
        </w:rPr>
        <w:t>22</w:t>
      </w:r>
      <w:r w:rsidR="006708B9" w:rsidRPr="009F3590">
        <w:rPr>
          <w:rFonts w:ascii="Arial" w:eastAsia="Arial" w:hAnsi="Arial" w:cs="Arial"/>
          <w:sz w:val="22"/>
          <w:szCs w:val="22"/>
        </w:rPr>
        <w:t>-</w:t>
      </w:r>
      <w:r w:rsidR="006708B9">
        <w:rPr>
          <w:rFonts w:ascii="Arial" w:eastAsia="Arial" w:hAnsi="Arial" w:cs="Arial"/>
          <w:sz w:val="22"/>
          <w:szCs w:val="22"/>
        </w:rPr>
        <w:t>10</w:t>
      </w:r>
      <w:r w:rsidR="006708B9" w:rsidRPr="009F3590">
        <w:rPr>
          <w:rFonts w:ascii="Arial" w:eastAsia="Arial" w:hAnsi="Arial" w:cs="Arial"/>
          <w:sz w:val="22"/>
          <w:szCs w:val="22"/>
        </w:rPr>
        <w:t>-202</w:t>
      </w:r>
      <w:r w:rsidR="006708B9">
        <w:rPr>
          <w:rFonts w:ascii="Arial" w:eastAsia="Arial" w:hAnsi="Arial" w:cs="Arial"/>
          <w:sz w:val="22"/>
          <w:szCs w:val="22"/>
        </w:rPr>
        <w:t>4</w:t>
      </w:r>
      <w:r w:rsidR="006708B9" w:rsidRPr="009F3590">
        <w:rPr>
          <w:rFonts w:ascii="Arial" w:eastAsia="Arial" w:hAnsi="Arial" w:cs="Arial"/>
          <w:b/>
          <w:sz w:val="22"/>
          <w:szCs w:val="22"/>
        </w:rPr>
        <w:t xml:space="preserve"> </w:t>
      </w:r>
      <w:r w:rsidRPr="009F3D37"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έγγραφο </w:t>
      </w:r>
      <w:r w:rsidRPr="009F3D37">
        <w:rPr>
          <w:rFonts w:ascii="Arial" w:hAnsi="Arial" w:cs="Arial"/>
          <w:sz w:val="22"/>
          <w:szCs w:val="22"/>
        </w:rPr>
        <w:t xml:space="preserve">  από τον  υπόλογο  δημοτικό   υπάλληλο  κ. </w:t>
      </w:r>
      <w:r w:rsidR="006708B9">
        <w:rPr>
          <w:rFonts w:ascii="Arial" w:hAnsi="Arial" w:cs="Arial"/>
          <w:sz w:val="22"/>
          <w:szCs w:val="22"/>
        </w:rPr>
        <w:t>Στάμου Λουκά</w:t>
      </w:r>
      <w:r w:rsidR="006708B9" w:rsidRPr="009F3590">
        <w:rPr>
          <w:rFonts w:ascii="Arial" w:hAnsi="Arial" w:cs="Arial"/>
          <w:sz w:val="22"/>
          <w:szCs w:val="22"/>
        </w:rPr>
        <w:t xml:space="preserve">   </w:t>
      </w:r>
      <w:r w:rsidRPr="009F3D37">
        <w:rPr>
          <w:rFonts w:ascii="Arial" w:hAnsi="Arial" w:cs="Arial"/>
          <w:sz w:val="22"/>
          <w:szCs w:val="22"/>
        </w:rPr>
        <w:t xml:space="preserve">μαζί με τα συνημμένα  δικαιολογητικά.    </w:t>
      </w:r>
    </w:p>
    <w:p w:rsidR="00624C3E" w:rsidRPr="009F3D37" w:rsidRDefault="00624C3E" w:rsidP="00624C3E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9F3D37">
        <w:rPr>
          <w:rFonts w:ascii="Arial" w:hAnsi="Arial" w:cs="Arial"/>
          <w:sz w:val="22"/>
          <w:szCs w:val="22"/>
        </w:rPr>
        <w:lastRenderedPageBreak/>
        <w:t xml:space="preserve">                                         </w:t>
      </w:r>
    </w:p>
    <w:p w:rsidR="00624C3E" w:rsidRPr="000F3B45" w:rsidRDefault="00624C3E" w:rsidP="00624C3E">
      <w:pPr>
        <w:contextualSpacing/>
        <w:jc w:val="both"/>
        <w:rPr>
          <w:rFonts w:eastAsia="Verdana"/>
          <w:lang w:bidi="hi-IN"/>
        </w:rPr>
      </w:pPr>
      <w:r w:rsidRPr="009F3D37">
        <w:rPr>
          <w:rFonts w:ascii="Arial" w:hAnsi="Arial" w:cs="Arial"/>
          <w:sz w:val="22"/>
          <w:szCs w:val="22"/>
        </w:rPr>
        <w:t>Β)Απαλλάσσει το</w:t>
      </w:r>
      <w:r>
        <w:rPr>
          <w:rFonts w:ascii="Arial" w:hAnsi="Arial" w:cs="Arial"/>
          <w:sz w:val="22"/>
          <w:szCs w:val="22"/>
        </w:rPr>
        <w:t>ν δημοτικό</w:t>
      </w:r>
      <w:r w:rsidRPr="009F3D37">
        <w:rPr>
          <w:rFonts w:ascii="Arial" w:hAnsi="Arial" w:cs="Arial"/>
          <w:sz w:val="22"/>
          <w:szCs w:val="22"/>
        </w:rPr>
        <w:t xml:space="preserve">  υπάλληλο  κ. </w:t>
      </w:r>
      <w:r w:rsidR="006708B9">
        <w:rPr>
          <w:rFonts w:ascii="Arial" w:hAnsi="Arial" w:cs="Arial"/>
          <w:sz w:val="22"/>
          <w:szCs w:val="22"/>
        </w:rPr>
        <w:t>Στάμου Λουκά</w:t>
      </w:r>
      <w:r w:rsidR="006708B9" w:rsidRPr="009F3590">
        <w:rPr>
          <w:rFonts w:ascii="Arial" w:hAnsi="Arial" w:cs="Arial"/>
          <w:sz w:val="22"/>
          <w:szCs w:val="22"/>
        </w:rPr>
        <w:t xml:space="preserve">   </w:t>
      </w:r>
      <w:r w:rsidRPr="009F3D37">
        <w:rPr>
          <w:rFonts w:ascii="Arial" w:hAnsi="Arial" w:cs="Arial"/>
          <w:sz w:val="22"/>
          <w:szCs w:val="22"/>
        </w:rPr>
        <w:t xml:space="preserve">από υπόλογο  του </w:t>
      </w:r>
      <w:proofErr w:type="spellStart"/>
      <w:r w:rsidRPr="009F3D37">
        <w:rPr>
          <w:rFonts w:ascii="Arial" w:hAnsi="Arial" w:cs="Arial"/>
          <w:sz w:val="22"/>
          <w:szCs w:val="22"/>
        </w:rPr>
        <w:t>υπ΄αριθμ</w:t>
      </w:r>
      <w:proofErr w:type="spellEnd"/>
      <w:r w:rsidRPr="009F3D37">
        <w:rPr>
          <w:rFonts w:ascii="Arial" w:hAnsi="Arial" w:cs="Arial"/>
          <w:sz w:val="22"/>
          <w:szCs w:val="22"/>
        </w:rPr>
        <w:t xml:space="preserve">. </w:t>
      </w:r>
      <w:r w:rsidR="006708B9">
        <w:rPr>
          <w:rFonts w:ascii="Arial" w:hAnsi="Arial" w:cs="Arial"/>
          <w:sz w:val="22"/>
          <w:szCs w:val="22"/>
        </w:rPr>
        <w:t>2155</w:t>
      </w:r>
      <w:r w:rsidRPr="009F3D37">
        <w:rPr>
          <w:rFonts w:ascii="Arial" w:eastAsia="SimSun" w:hAnsi="Arial" w:cs="Arial"/>
          <w:sz w:val="22"/>
          <w:szCs w:val="22"/>
          <w:highlight w:val="white"/>
        </w:rPr>
        <w:t>/202</w:t>
      </w:r>
      <w:r>
        <w:rPr>
          <w:rFonts w:ascii="Arial" w:eastAsia="SimSun" w:hAnsi="Arial" w:cs="Arial"/>
          <w:sz w:val="22"/>
          <w:szCs w:val="22"/>
          <w:highlight w:val="white"/>
        </w:rPr>
        <w:t>4</w:t>
      </w:r>
      <w:r w:rsidRPr="009F3D37">
        <w:rPr>
          <w:rFonts w:ascii="Arial" w:eastAsia="SimSun" w:hAnsi="Arial" w:cs="Arial"/>
          <w:sz w:val="22"/>
          <w:szCs w:val="22"/>
          <w:highlight w:val="white"/>
        </w:rPr>
        <w:t xml:space="preserve"> </w:t>
      </w:r>
      <w:r w:rsidRPr="009F3D37">
        <w:rPr>
          <w:rFonts w:ascii="Arial" w:hAnsi="Arial" w:cs="Arial"/>
          <w:sz w:val="22"/>
          <w:szCs w:val="22"/>
        </w:rPr>
        <w:t xml:space="preserve">χρηματικού εντάλματος προπληρωμής </w:t>
      </w:r>
      <w:r w:rsidRPr="00716D40">
        <w:rPr>
          <w:rFonts w:ascii="Arial" w:hAnsi="Arial" w:cs="Arial"/>
          <w:sz w:val="22"/>
          <w:szCs w:val="22"/>
        </w:rPr>
        <w:t xml:space="preserve">ποσού  </w:t>
      </w:r>
      <w:r w:rsidR="006708B9">
        <w:rPr>
          <w:rFonts w:ascii="Arial" w:hAnsi="Arial" w:cs="Arial"/>
          <w:sz w:val="22"/>
          <w:szCs w:val="22"/>
        </w:rPr>
        <w:t>ΤΕΤΑΡΑΚΟΣΙΩΝ ΟΓΔΟΝΤΑ Τ</w:t>
      </w:r>
      <w:r w:rsidR="003F7E99">
        <w:rPr>
          <w:rFonts w:ascii="Arial" w:hAnsi="Arial" w:cs="Arial"/>
          <w:sz w:val="22"/>
          <w:szCs w:val="22"/>
        </w:rPr>
        <w:t xml:space="preserve">ΕΣΣΑΡΩΝ </w:t>
      </w:r>
      <w:r w:rsidRPr="00716D40">
        <w:rPr>
          <w:rFonts w:ascii="Arial" w:hAnsi="Arial" w:cs="Arial"/>
          <w:sz w:val="22"/>
          <w:szCs w:val="22"/>
        </w:rPr>
        <w:t xml:space="preserve"> ΕΥΡΩ  </w:t>
      </w:r>
      <w:r w:rsidRPr="00DE0438">
        <w:rPr>
          <w:rFonts w:ascii="Arial" w:hAnsi="Arial" w:cs="Arial"/>
          <w:sz w:val="22"/>
          <w:szCs w:val="22"/>
        </w:rPr>
        <w:t>(</w:t>
      </w:r>
      <w:r w:rsidR="00DE0438" w:rsidRPr="00DE0438">
        <w:rPr>
          <w:rFonts w:ascii="Arial" w:hAnsi="Arial" w:cs="Arial"/>
          <w:sz w:val="22"/>
          <w:szCs w:val="22"/>
        </w:rPr>
        <w:t>48</w:t>
      </w:r>
      <w:r w:rsidR="003F7E99">
        <w:rPr>
          <w:rFonts w:ascii="Arial" w:hAnsi="Arial" w:cs="Arial"/>
          <w:sz w:val="22"/>
          <w:szCs w:val="22"/>
        </w:rPr>
        <w:t>4</w:t>
      </w:r>
      <w:r w:rsidR="00DE0438" w:rsidRPr="00DE0438">
        <w:rPr>
          <w:rFonts w:ascii="Arial" w:hAnsi="Arial" w:cs="Arial"/>
          <w:sz w:val="22"/>
          <w:szCs w:val="22"/>
        </w:rPr>
        <w:t>,</w:t>
      </w:r>
      <w:r w:rsidR="003F7E99">
        <w:rPr>
          <w:rFonts w:ascii="Arial" w:hAnsi="Arial" w:cs="Arial"/>
          <w:sz w:val="22"/>
          <w:szCs w:val="22"/>
        </w:rPr>
        <w:t>0</w:t>
      </w:r>
      <w:r w:rsidR="00DE0438" w:rsidRPr="00DE0438">
        <w:rPr>
          <w:rFonts w:ascii="Arial" w:hAnsi="Arial" w:cs="Arial"/>
          <w:sz w:val="22"/>
          <w:szCs w:val="22"/>
        </w:rPr>
        <w:t>0€</w:t>
      </w:r>
      <w:r w:rsidRPr="00DE0438">
        <w:rPr>
          <w:rFonts w:ascii="Arial" w:hAnsi="Arial" w:cs="Arial"/>
          <w:bCs/>
          <w:sz w:val="22"/>
          <w:szCs w:val="22"/>
        </w:rPr>
        <w:t>)</w:t>
      </w:r>
      <w:r w:rsidRPr="00716D40">
        <w:rPr>
          <w:rFonts w:ascii="Arial" w:hAnsi="Arial" w:cs="Arial"/>
          <w:bCs/>
          <w:sz w:val="22"/>
          <w:szCs w:val="22"/>
        </w:rPr>
        <w:t xml:space="preserve"> ο</w:t>
      </w:r>
      <w:r w:rsidRPr="009F3D37">
        <w:rPr>
          <w:rFonts w:ascii="Arial" w:hAnsi="Arial" w:cs="Arial"/>
          <w:sz w:val="22"/>
          <w:szCs w:val="22"/>
        </w:rPr>
        <w:t xml:space="preserve"> οποί</w:t>
      </w:r>
      <w:r>
        <w:rPr>
          <w:rFonts w:ascii="Arial" w:hAnsi="Arial" w:cs="Arial"/>
          <w:sz w:val="22"/>
          <w:szCs w:val="22"/>
        </w:rPr>
        <w:t>ος</w:t>
      </w:r>
      <w:r w:rsidRPr="009F3D37">
        <w:rPr>
          <w:rFonts w:ascii="Arial" w:hAnsi="Arial" w:cs="Arial"/>
          <w:sz w:val="22"/>
          <w:szCs w:val="22"/>
        </w:rPr>
        <w:t xml:space="preserve"> </w:t>
      </w:r>
      <w:r w:rsidRPr="009F3D37">
        <w:rPr>
          <w:rFonts w:ascii="Arial" w:hAnsi="Arial" w:cs="Arial"/>
          <w:sz w:val="22"/>
          <w:szCs w:val="22"/>
          <w:lang w:eastAsia="el-GR"/>
        </w:rPr>
        <w:t xml:space="preserve">  ορίσθηκε </w:t>
      </w:r>
      <w:r w:rsidRPr="009F3D3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για  </w:t>
      </w:r>
      <w:r w:rsidR="00DE0438" w:rsidRPr="00DE0438">
        <w:rPr>
          <w:rFonts w:ascii="Arial" w:hAnsi="Arial" w:cs="Arial"/>
          <w:bCs/>
          <w:sz w:val="22"/>
          <w:szCs w:val="22"/>
        </w:rPr>
        <w:t xml:space="preserve">την πληρωμή δαπάνης σύνδεσης </w:t>
      </w:r>
      <w:proofErr w:type="spellStart"/>
      <w:r w:rsidR="00DE0438" w:rsidRPr="00DE0438">
        <w:rPr>
          <w:rFonts w:ascii="Arial" w:hAnsi="Arial" w:cs="Arial"/>
          <w:bCs/>
          <w:sz w:val="22"/>
          <w:szCs w:val="22"/>
        </w:rPr>
        <w:t>φωτοβολταϊκού</w:t>
      </w:r>
      <w:proofErr w:type="spellEnd"/>
      <w:r w:rsidR="00DE0438" w:rsidRPr="00DE0438">
        <w:rPr>
          <w:rFonts w:ascii="Arial" w:hAnsi="Arial" w:cs="Arial"/>
          <w:bCs/>
          <w:sz w:val="22"/>
          <w:szCs w:val="22"/>
        </w:rPr>
        <w:t xml:space="preserve"> σταθμού του Δημαρχείου Λιβαδειάς με το δίκτυο.</w:t>
      </w:r>
      <w:r w:rsidR="00DE0438" w:rsidRPr="009F5018">
        <w:rPr>
          <w:rFonts w:ascii="Arial" w:hAnsi="Arial" w:cs="Arial"/>
          <w:i/>
          <w:sz w:val="22"/>
          <w:szCs w:val="22"/>
        </w:rPr>
        <w:t xml:space="preserve"> </w:t>
      </w:r>
      <w:r w:rsidR="00DE0438" w:rsidRPr="009F5018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075B18" w:rsidRPr="0044518A" w:rsidRDefault="00BC6DFC" w:rsidP="00432FEB">
      <w:pPr>
        <w:pStyle w:val="Default"/>
        <w:rPr>
          <w:vanish/>
          <w:sz w:val="22"/>
          <w:szCs w:val="22"/>
          <w:lang w:val="el-GR"/>
        </w:rPr>
      </w:pPr>
      <w:r w:rsidRPr="00BC6DFC">
        <w:rPr>
          <w:rStyle w:val="71"/>
          <w:rFonts w:eastAsia="Arial"/>
          <w:bCs/>
          <w:kern w:val="2"/>
          <w:sz w:val="22"/>
          <w:szCs w:val="22"/>
          <w:highlight w:val="white"/>
          <w:shd w:val="clear" w:color="auto" w:fill="FFFFFF"/>
          <w:lang w:val="el-GR" w:eastAsia="el-GR" w:bidi="hi-IN"/>
        </w:rPr>
        <w:t xml:space="preserve">   </w:t>
      </w:r>
    </w:p>
    <w:p w:rsidR="00432FEB" w:rsidRPr="0044518A" w:rsidRDefault="00432FEB" w:rsidP="00432FEB">
      <w:pPr>
        <w:pStyle w:val="Default"/>
        <w:rPr>
          <w:vanish/>
          <w:sz w:val="22"/>
          <w:szCs w:val="22"/>
          <w:lang w:val="el-GR"/>
        </w:rPr>
      </w:pPr>
    </w:p>
    <w:p w:rsidR="00F61F7D" w:rsidRPr="0044518A" w:rsidRDefault="00F61F7D" w:rsidP="00432FEB">
      <w:pPr>
        <w:pStyle w:val="Default"/>
        <w:rPr>
          <w:vanish/>
          <w:sz w:val="22"/>
          <w:szCs w:val="22"/>
          <w:lang w:val="el-GR"/>
          <w:specVanish/>
        </w:rPr>
      </w:pPr>
    </w:p>
    <w:p w:rsidR="00F61F7D" w:rsidRPr="008D226F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>.</w:t>
      </w:r>
      <w:r w:rsidRPr="008D226F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8D226F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8D226F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4C3B29" w:rsidRPr="008D226F">
        <w:rPr>
          <w:rFonts w:ascii="Arial" w:hAnsi="Arial" w:cs="Arial"/>
          <w:b/>
          <w:sz w:val="22"/>
          <w:szCs w:val="22"/>
        </w:rPr>
        <w:t>3</w:t>
      </w:r>
      <w:r w:rsidR="00E11481">
        <w:rPr>
          <w:rFonts w:ascii="Arial" w:hAnsi="Arial" w:cs="Arial"/>
          <w:b/>
          <w:sz w:val="22"/>
          <w:szCs w:val="22"/>
        </w:rPr>
        <w:t>9</w:t>
      </w:r>
      <w:r w:rsidR="00624C3E">
        <w:rPr>
          <w:rFonts w:ascii="Arial" w:hAnsi="Arial" w:cs="Arial"/>
          <w:b/>
          <w:sz w:val="22"/>
          <w:szCs w:val="22"/>
        </w:rPr>
        <w:t>5</w:t>
      </w:r>
      <w:r w:rsidR="00100901" w:rsidRPr="008D226F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8D226F" w:rsidRDefault="00FE4FFC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E11481" w:rsidRPr="00E11481" w:rsidRDefault="005A44FF" w:rsidP="00E1148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8D226F">
        <w:rPr>
          <w:rFonts w:ascii="Arial" w:hAnsi="Arial" w:cs="Arial"/>
          <w:b/>
          <w:sz w:val="22"/>
          <w:szCs w:val="22"/>
        </w:rPr>
        <w:t xml:space="preserve">   </w:t>
      </w:r>
      <w:r w:rsidR="00E11481" w:rsidRPr="00E1148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E11481" w:rsidRDefault="00E11481" w:rsidP="00E1148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E11481">
        <w:rPr>
          <w:rFonts w:ascii="Arial" w:hAnsi="Arial" w:cs="Arial"/>
          <w:sz w:val="22"/>
          <w:szCs w:val="22"/>
        </w:rPr>
        <w:t>ΔΗΜΗΤΡΙΟΣ Κ. ΚΑΡΑΜΑΝΗΣ</w:t>
      </w:r>
    </w:p>
    <w:p w:rsidR="00E11481" w:rsidRPr="00E11481" w:rsidRDefault="00E11481" w:rsidP="00E1148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E11481">
        <w:rPr>
          <w:rFonts w:ascii="Arial" w:hAnsi="Arial" w:cs="Arial"/>
          <w:sz w:val="22"/>
          <w:szCs w:val="22"/>
        </w:rPr>
        <w:t xml:space="preserve">                 </w:t>
      </w:r>
    </w:p>
    <w:p w:rsidR="00E11481" w:rsidRPr="00E11481" w:rsidRDefault="00E11481" w:rsidP="00E11481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E11481">
        <w:rPr>
          <w:rFonts w:ascii="Arial" w:eastAsia="Arial" w:hAnsi="Arial" w:cs="Arial"/>
          <w:b/>
          <w:sz w:val="22"/>
          <w:szCs w:val="22"/>
        </w:rPr>
        <w:t xml:space="preserve">    </w:t>
      </w:r>
      <w:r w:rsidRPr="00E11481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Pr="00E11481"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               </w:t>
      </w:r>
      <w:r w:rsidRPr="00E11481">
        <w:rPr>
          <w:rFonts w:ascii="Arial" w:eastAsia="Arial" w:hAnsi="Arial" w:cs="Arial"/>
          <w:sz w:val="22"/>
          <w:szCs w:val="22"/>
        </w:rPr>
        <w:t xml:space="preserve"> </w:t>
      </w:r>
      <w:r w:rsidRPr="00E11481">
        <w:rPr>
          <w:rFonts w:ascii="Arial" w:hAnsi="Arial" w:cs="Arial"/>
          <w:sz w:val="22"/>
          <w:szCs w:val="22"/>
        </w:rPr>
        <w:t>ΠΙΣΤΟ ΑΠΟΣΠΑΣΜΑ</w:t>
      </w:r>
    </w:p>
    <w:p w:rsidR="00E11481" w:rsidRPr="00E11481" w:rsidRDefault="00E11481" w:rsidP="00E1148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E1148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Λιβαδειά      </w:t>
      </w:r>
      <w:r w:rsidR="0044518A">
        <w:rPr>
          <w:rFonts w:ascii="Arial" w:hAnsi="Arial" w:cs="Arial"/>
          <w:sz w:val="22"/>
          <w:szCs w:val="22"/>
        </w:rPr>
        <w:t>0</w:t>
      </w:r>
      <w:r w:rsidRPr="00E11481">
        <w:rPr>
          <w:rFonts w:ascii="Arial" w:hAnsi="Arial" w:cs="Arial"/>
          <w:sz w:val="22"/>
          <w:szCs w:val="22"/>
        </w:rPr>
        <w:t>1 -1</w:t>
      </w:r>
      <w:r w:rsidR="0044518A">
        <w:rPr>
          <w:rFonts w:ascii="Arial" w:hAnsi="Arial" w:cs="Arial"/>
          <w:sz w:val="22"/>
          <w:szCs w:val="22"/>
        </w:rPr>
        <w:t>1</w:t>
      </w:r>
      <w:r w:rsidRPr="00E11481">
        <w:rPr>
          <w:rFonts w:ascii="Arial" w:hAnsi="Arial" w:cs="Arial"/>
          <w:sz w:val="22"/>
          <w:szCs w:val="22"/>
        </w:rPr>
        <w:t>-2024</w:t>
      </w:r>
      <w:r w:rsidRPr="00E1148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E11481" w:rsidRPr="00E11481" w:rsidRDefault="00E11481" w:rsidP="00E1148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E1148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Ο ΠΡΟΕΔΡΟΣ</w:t>
      </w:r>
      <w:r w:rsidRPr="00E11481">
        <w:rPr>
          <w:rFonts w:ascii="Arial" w:hAnsi="Arial" w:cs="Arial"/>
          <w:sz w:val="22"/>
          <w:szCs w:val="22"/>
        </w:rPr>
        <w:t xml:space="preserve">    </w:t>
      </w:r>
    </w:p>
    <w:p w:rsidR="00E11481" w:rsidRPr="00E11481" w:rsidRDefault="00E11481" w:rsidP="00E11481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E11481">
        <w:rPr>
          <w:rFonts w:ascii="Arial" w:hAnsi="Arial" w:cs="Arial"/>
          <w:sz w:val="22"/>
          <w:szCs w:val="22"/>
        </w:rPr>
        <w:tab/>
      </w:r>
    </w:p>
    <w:p w:rsidR="00E11481" w:rsidRPr="00E11481" w:rsidRDefault="00E11481" w:rsidP="00E11481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E11481">
        <w:rPr>
          <w:rFonts w:ascii="Arial" w:eastAsia="Arial" w:hAnsi="Arial" w:cs="Arial"/>
          <w:sz w:val="22"/>
          <w:szCs w:val="22"/>
        </w:rPr>
        <w:t xml:space="preserve">                </w:t>
      </w:r>
      <w:r w:rsidRPr="00E11481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E11481" w:rsidRPr="00E11481" w:rsidRDefault="00E11481" w:rsidP="00E1148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E11481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E11481">
        <w:rPr>
          <w:rFonts w:ascii="Arial" w:hAnsi="Arial" w:cs="Arial"/>
          <w:sz w:val="22"/>
          <w:szCs w:val="22"/>
        </w:rPr>
        <w:t>Τουμαράς</w:t>
      </w:r>
      <w:proofErr w:type="spellEnd"/>
      <w:r w:rsidRPr="00E11481">
        <w:rPr>
          <w:rFonts w:ascii="Arial" w:hAnsi="Arial" w:cs="Arial"/>
          <w:sz w:val="22"/>
          <w:szCs w:val="22"/>
        </w:rPr>
        <w:t xml:space="preserve"> Βασίλειος</w:t>
      </w:r>
    </w:p>
    <w:p w:rsidR="00E11481" w:rsidRPr="00E11481" w:rsidRDefault="00E11481" w:rsidP="00E1148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E11481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E11481">
        <w:rPr>
          <w:rFonts w:ascii="Arial" w:hAnsi="Arial" w:cs="Arial"/>
          <w:sz w:val="22"/>
          <w:szCs w:val="22"/>
        </w:rPr>
        <w:t>Αγνιάδης</w:t>
      </w:r>
      <w:proofErr w:type="spellEnd"/>
      <w:r w:rsidRPr="00E11481">
        <w:rPr>
          <w:rFonts w:ascii="Arial" w:hAnsi="Arial" w:cs="Arial"/>
          <w:sz w:val="22"/>
          <w:szCs w:val="22"/>
        </w:rPr>
        <w:t xml:space="preserve">  Παναγιώτης                                                        </w:t>
      </w:r>
    </w:p>
    <w:p w:rsidR="00E11481" w:rsidRPr="00E11481" w:rsidRDefault="00E11481" w:rsidP="00E1148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E11481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E11481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E11481">
        <w:rPr>
          <w:rFonts w:ascii="Arial" w:hAnsi="Arial" w:cs="Arial"/>
          <w:sz w:val="22"/>
          <w:szCs w:val="22"/>
        </w:rPr>
        <w:t xml:space="preserve"> Χρήστος                                                  ΔΗΜΗΤΡΙΟΣ Κ. ΚΑΡΑΜΑΝΗΣ</w:t>
      </w:r>
    </w:p>
    <w:p w:rsidR="00E11481" w:rsidRPr="00E11481" w:rsidRDefault="00E11481" w:rsidP="00E1148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E11481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E11481">
        <w:rPr>
          <w:rFonts w:ascii="Arial" w:hAnsi="Arial" w:cs="Arial"/>
          <w:sz w:val="22"/>
          <w:szCs w:val="22"/>
        </w:rPr>
        <w:t>Τόλιας</w:t>
      </w:r>
      <w:proofErr w:type="spellEnd"/>
      <w:r w:rsidRPr="00E11481">
        <w:rPr>
          <w:rFonts w:ascii="Arial" w:hAnsi="Arial" w:cs="Arial"/>
          <w:sz w:val="22"/>
          <w:szCs w:val="22"/>
        </w:rPr>
        <w:t xml:space="preserve">  Δημήτριος                                                          ΔΗΜΑΡΧΟΣ ΛΕΒΑΔΕΩΝ                                                </w:t>
      </w:r>
    </w:p>
    <w:p w:rsidR="00E11481" w:rsidRPr="00E11481" w:rsidRDefault="00E11481" w:rsidP="00E1148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E11481" w:rsidRPr="00E11481" w:rsidRDefault="00E11481" w:rsidP="00E1148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275E73" w:rsidRPr="00E11481" w:rsidRDefault="00275E73" w:rsidP="00E11481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</w:p>
    <w:sectPr w:rsidR="00275E73" w:rsidRPr="00E1148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26F" w:rsidRDefault="0049726F">
      <w:r>
        <w:separator/>
      </w:r>
    </w:p>
  </w:endnote>
  <w:endnote w:type="continuationSeparator" w:id="0">
    <w:p w:rsidR="0049726F" w:rsidRDefault="00497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26F" w:rsidRDefault="0049726F">
      <w:r>
        <w:separator/>
      </w:r>
    </w:p>
  </w:footnote>
  <w:footnote w:type="continuationSeparator" w:id="0">
    <w:p w:rsidR="0049726F" w:rsidRDefault="00497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AA1560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AA1560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F7E99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1FBE03D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28574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2CE86AF4"/>
    <w:multiLevelType w:val="hybridMultilevel"/>
    <w:tmpl w:val="B46AC7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807D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1">
    <w:nsid w:val="52316F3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2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09458B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4">
    <w:nsid w:val="65C57848"/>
    <w:multiLevelType w:val="hybridMultilevel"/>
    <w:tmpl w:val="8CD08D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75A62"/>
    <w:multiLevelType w:val="hybridMultilevel"/>
    <w:tmpl w:val="4064C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16"/>
  </w:num>
  <w:num w:numId="12">
    <w:abstractNumId w:val="9"/>
  </w:num>
  <w:num w:numId="13">
    <w:abstractNumId w:val="15"/>
  </w:num>
  <w:num w:numId="14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0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75B18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01CC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CC6"/>
    <w:rsid w:val="000E1EDD"/>
    <w:rsid w:val="000E3782"/>
    <w:rsid w:val="000F1501"/>
    <w:rsid w:val="00100901"/>
    <w:rsid w:val="00100EFD"/>
    <w:rsid w:val="00106413"/>
    <w:rsid w:val="001077BE"/>
    <w:rsid w:val="00112888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14DA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D66"/>
    <w:rsid w:val="001D4BBB"/>
    <w:rsid w:val="001D4E03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02C1"/>
    <w:rsid w:val="002465A3"/>
    <w:rsid w:val="00246CC8"/>
    <w:rsid w:val="00252D07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86E65"/>
    <w:rsid w:val="00290882"/>
    <w:rsid w:val="002963E1"/>
    <w:rsid w:val="0029648E"/>
    <w:rsid w:val="002A4FD5"/>
    <w:rsid w:val="002A56AE"/>
    <w:rsid w:val="002B291B"/>
    <w:rsid w:val="002B4A81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6967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2F3999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31E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586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3F7E99"/>
    <w:rsid w:val="00404CF8"/>
    <w:rsid w:val="004062F5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2FEB"/>
    <w:rsid w:val="00435514"/>
    <w:rsid w:val="00435B19"/>
    <w:rsid w:val="00435BEF"/>
    <w:rsid w:val="00436E0B"/>
    <w:rsid w:val="0044518A"/>
    <w:rsid w:val="0044667E"/>
    <w:rsid w:val="00446B60"/>
    <w:rsid w:val="004478FD"/>
    <w:rsid w:val="00453D11"/>
    <w:rsid w:val="004564D5"/>
    <w:rsid w:val="004600E1"/>
    <w:rsid w:val="004650CA"/>
    <w:rsid w:val="00476970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9726F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3B29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15C6"/>
    <w:rsid w:val="00534BAD"/>
    <w:rsid w:val="00537494"/>
    <w:rsid w:val="0054173F"/>
    <w:rsid w:val="0054536C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08EE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4EDC"/>
    <w:rsid w:val="00596284"/>
    <w:rsid w:val="005A1C17"/>
    <w:rsid w:val="005A1D1E"/>
    <w:rsid w:val="005A2181"/>
    <w:rsid w:val="005A2D19"/>
    <w:rsid w:val="005A44FF"/>
    <w:rsid w:val="005A7C2D"/>
    <w:rsid w:val="005B0A43"/>
    <w:rsid w:val="005B145F"/>
    <w:rsid w:val="005B55CE"/>
    <w:rsid w:val="005C3529"/>
    <w:rsid w:val="005C44F5"/>
    <w:rsid w:val="005C487E"/>
    <w:rsid w:val="005C56F0"/>
    <w:rsid w:val="005C6695"/>
    <w:rsid w:val="005D0E23"/>
    <w:rsid w:val="005D1302"/>
    <w:rsid w:val="005D13B1"/>
    <w:rsid w:val="005D1717"/>
    <w:rsid w:val="005D2212"/>
    <w:rsid w:val="005D264F"/>
    <w:rsid w:val="005E0A3E"/>
    <w:rsid w:val="005E39F4"/>
    <w:rsid w:val="005E6657"/>
    <w:rsid w:val="005E6AD5"/>
    <w:rsid w:val="005E7301"/>
    <w:rsid w:val="005F1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17BD0"/>
    <w:rsid w:val="00620870"/>
    <w:rsid w:val="006243EE"/>
    <w:rsid w:val="00624C3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08B9"/>
    <w:rsid w:val="00673873"/>
    <w:rsid w:val="006908AC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1484"/>
    <w:rsid w:val="007516C3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2B11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7F17C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41BA"/>
    <w:rsid w:val="00845BDA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13B9"/>
    <w:rsid w:val="008720DE"/>
    <w:rsid w:val="00875579"/>
    <w:rsid w:val="00883ABC"/>
    <w:rsid w:val="0089305D"/>
    <w:rsid w:val="0089389D"/>
    <w:rsid w:val="008946BA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226F"/>
    <w:rsid w:val="008D48D0"/>
    <w:rsid w:val="008E0542"/>
    <w:rsid w:val="008E2CBE"/>
    <w:rsid w:val="008E4426"/>
    <w:rsid w:val="008F0782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92519"/>
    <w:rsid w:val="009A47BB"/>
    <w:rsid w:val="009A6304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9F5018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0A73"/>
    <w:rsid w:val="00A54613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911B6"/>
    <w:rsid w:val="00A95B20"/>
    <w:rsid w:val="00A9783D"/>
    <w:rsid w:val="00AA0F5B"/>
    <w:rsid w:val="00AA1560"/>
    <w:rsid w:val="00AA3725"/>
    <w:rsid w:val="00AA40CD"/>
    <w:rsid w:val="00AA4AE6"/>
    <w:rsid w:val="00AB03CB"/>
    <w:rsid w:val="00AB25BC"/>
    <w:rsid w:val="00AB3804"/>
    <w:rsid w:val="00AB4A28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59B8"/>
    <w:rsid w:val="00B16BE3"/>
    <w:rsid w:val="00B16C92"/>
    <w:rsid w:val="00B214AE"/>
    <w:rsid w:val="00B23460"/>
    <w:rsid w:val="00B2563A"/>
    <w:rsid w:val="00B270BD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52990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2CA1"/>
    <w:rsid w:val="00B935DB"/>
    <w:rsid w:val="00B9395A"/>
    <w:rsid w:val="00B95C74"/>
    <w:rsid w:val="00B96057"/>
    <w:rsid w:val="00BA37FD"/>
    <w:rsid w:val="00BA43E7"/>
    <w:rsid w:val="00BA6BE6"/>
    <w:rsid w:val="00BB2512"/>
    <w:rsid w:val="00BC25AB"/>
    <w:rsid w:val="00BC32A6"/>
    <w:rsid w:val="00BC4511"/>
    <w:rsid w:val="00BC6DFC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51414"/>
    <w:rsid w:val="00C563B9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8655A"/>
    <w:rsid w:val="00C90CF0"/>
    <w:rsid w:val="00C928B0"/>
    <w:rsid w:val="00C940F6"/>
    <w:rsid w:val="00C95187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1E96"/>
    <w:rsid w:val="00D1254C"/>
    <w:rsid w:val="00D13A1C"/>
    <w:rsid w:val="00D13E5C"/>
    <w:rsid w:val="00D141B0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95B1F"/>
    <w:rsid w:val="00D95FB4"/>
    <w:rsid w:val="00DA047C"/>
    <w:rsid w:val="00DA189B"/>
    <w:rsid w:val="00DA21EF"/>
    <w:rsid w:val="00DA3646"/>
    <w:rsid w:val="00DA5817"/>
    <w:rsid w:val="00DA6D14"/>
    <w:rsid w:val="00DA6D37"/>
    <w:rsid w:val="00DB049B"/>
    <w:rsid w:val="00DB28C5"/>
    <w:rsid w:val="00DB4A49"/>
    <w:rsid w:val="00DD0156"/>
    <w:rsid w:val="00DD0523"/>
    <w:rsid w:val="00DD32BB"/>
    <w:rsid w:val="00DD6684"/>
    <w:rsid w:val="00DD75B3"/>
    <w:rsid w:val="00DE0438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1481"/>
    <w:rsid w:val="00E13C00"/>
    <w:rsid w:val="00E14D56"/>
    <w:rsid w:val="00E22959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A5A"/>
    <w:rsid w:val="00EB3083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34CA"/>
    <w:rsid w:val="00FE4E11"/>
    <w:rsid w:val="00FE4FFC"/>
    <w:rsid w:val="00FE770C"/>
    <w:rsid w:val="00FE7A20"/>
    <w:rsid w:val="00FF29D3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paragraph" w:customStyle="1" w:styleId="270">
    <w:name w:val="Σώμα κείμενου 27"/>
    <w:basedOn w:val="a"/>
    <w:rsid w:val="00FF29D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textAlignment w:val="baseline"/>
    </w:pPr>
    <w:rPr>
      <w:color w:val="00000A"/>
      <w:kern w:val="2"/>
      <w:sz w:val="20"/>
      <w:szCs w:val="20"/>
      <w:u w:val="single"/>
      <w:lang w:eastAsia="el-GR"/>
    </w:rPr>
  </w:style>
  <w:style w:type="character" w:customStyle="1" w:styleId="71">
    <w:name w:val="Προεπιλεγμένη γραμματοσειρά7"/>
    <w:rsid w:val="00FF29D3"/>
  </w:style>
  <w:style w:type="paragraph" w:customStyle="1" w:styleId="280">
    <w:name w:val="Σώμα κείμενου 28"/>
    <w:basedOn w:val="a"/>
    <w:rsid w:val="00476970"/>
    <w:rPr>
      <w:rFonts w:ascii="Arial" w:hAnsi="Arial" w:cs="Arial"/>
      <w:kern w:val="2"/>
      <w:szCs w:val="20"/>
      <w:lang w:eastAsia="el-GR"/>
    </w:rPr>
  </w:style>
  <w:style w:type="paragraph" w:customStyle="1" w:styleId="36">
    <w:name w:val="Παράγραφος λίστας3"/>
    <w:basedOn w:val="a"/>
    <w:rsid w:val="00476970"/>
    <w:pPr>
      <w:ind w:left="720"/>
      <w:contextualSpacing/>
    </w:pPr>
    <w:rPr>
      <w:kern w:val="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8149A-69C0-4F36-B55D-D95C61D0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1490</Words>
  <Characters>8047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9518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2024-11-14T07:06:00Z</cp:lastPrinted>
  <dcterms:created xsi:type="dcterms:W3CDTF">2024-11-01T06:11:00Z</dcterms:created>
  <dcterms:modified xsi:type="dcterms:W3CDTF">2024-11-14T07:11:00Z</dcterms:modified>
</cp:coreProperties>
</file>