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1423BD" w:rsidRDefault="002B37DD" w:rsidP="00DE624B">
      <w:pPr>
        <w:pStyle w:val="1"/>
        <w:widowControl w:val="0"/>
        <w:spacing w:line="36" w:lineRule="atLeast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423BD" w:rsidRDefault="00D7185E" w:rsidP="00DE624B">
      <w:pPr>
        <w:pStyle w:val="1"/>
        <w:widowControl w:val="0"/>
        <w:spacing w:line="36" w:lineRule="atLeast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1423B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1423BD" w:rsidRDefault="00F47A5D" w:rsidP="00DE624B">
      <w:pPr>
        <w:autoSpaceDE w:val="0"/>
        <w:spacing w:line="36" w:lineRule="atLeast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1423BD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1423B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1423BD" w:rsidRDefault="00BA3D1F" w:rsidP="00DE624B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 w:line="36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1423B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71586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</w:t>
      </w:r>
      <w:r w:rsidR="00FA510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771</w:t>
      </w:r>
      <w:r w:rsidR="00F9783D" w:rsidRPr="001423B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1423BD" w:rsidRDefault="0086687F" w:rsidP="00DE624B">
      <w:pPr>
        <w:autoSpaceDE w:val="0"/>
        <w:spacing w:line="36" w:lineRule="atLeast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1423B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1423B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71586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="00FA510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F9783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1423BD" w:rsidRDefault="00AF4104" w:rsidP="00DE624B">
      <w:pPr>
        <w:spacing w:line="36" w:lineRule="atLeast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1423BD" w:rsidRDefault="00AF4104" w:rsidP="00DE624B">
      <w:pPr>
        <w:pStyle w:val="a9"/>
        <w:tabs>
          <w:tab w:val="clear" w:pos="4153"/>
          <w:tab w:val="clear" w:pos="8306"/>
          <w:tab w:val="left" w:pos="4110"/>
          <w:tab w:val="left" w:pos="4140"/>
        </w:tabs>
        <w:spacing w:line="36" w:lineRule="atLeast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1423BD" w:rsidRDefault="00AF4104" w:rsidP="00DE624B">
      <w:pPr>
        <w:pStyle w:val="a9"/>
        <w:spacing w:line="36" w:lineRule="atLeast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1423BD" w:rsidRDefault="00AF4104" w:rsidP="00DE624B">
      <w:pPr>
        <w:pStyle w:val="a9"/>
        <w:spacing w:line="36" w:lineRule="atLeast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1423BD" w:rsidRDefault="00AF4104" w:rsidP="00DE624B">
      <w:pPr>
        <w:spacing w:line="36" w:lineRule="atLeast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1423BD">
        <w:rPr>
          <w:rFonts w:asciiTheme="minorHAnsi" w:hAnsiTheme="minorHAnsi" w:cstheme="minorHAnsi"/>
          <w:sz w:val="22"/>
          <w:szCs w:val="22"/>
        </w:rPr>
        <w:t>4</w:t>
      </w:r>
      <w:r w:rsidRPr="001423BD">
        <w:rPr>
          <w:rFonts w:asciiTheme="minorHAnsi" w:hAnsiTheme="minorHAnsi" w:cstheme="minorHAnsi"/>
          <w:sz w:val="22"/>
          <w:szCs w:val="22"/>
        </w:rPr>
        <w:t>-</w:t>
      </w:r>
      <w:r w:rsidR="00F9783D" w:rsidRPr="001423BD">
        <w:rPr>
          <w:rFonts w:asciiTheme="minorHAnsi" w:hAnsiTheme="minorHAnsi" w:cstheme="minorHAnsi"/>
          <w:sz w:val="22"/>
          <w:szCs w:val="22"/>
        </w:rPr>
        <w:t>10</w:t>
      </w:r>
      <w:r w:rsidRPr="001423BD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1423BD">
        <w:rPr>
          <w:rFonts w:asciiTheme="minorHAnsi" w:hAnsiTheme="minorHAnsi" w:cstheme="minorHAnsi"/>
          <w:sz w:val="22"/>
          <w:szCs w:val="22"/>
        </w:rPr>
        <w:t>ΤΑΚΤ</w:t>
      </w:r>
      <w:r w:rsidR="00BB3C4B" w:rsidRPr="001423BD">
        <w:rPr>
          <w:rFonts w:asciiTheme="minorHAnsi" w:hAnsiTheme="minorHAnsi" w:cstheme="minorHAnsi"/>
          <w:sz w:val="22"/>
          <w:szCs w:val="22"/>
        </w:rPr>
        <w:t>ΙΚ</w:t>
      </w:r>
      <w:r w:rsidR="00317077" w:rsidRPr="001423BD">
        <w:rPr>
          <w:rFonts w:asciiTheme="minorHAnsi" w:hAnsiTheme="minorHAnsi" w:cstheme="minorHAnsi"/>
          <w:sz w:val="22"/>
          <w:szCs w:val="22"/>
        </w:rPr>
        <w:t>ΗΣ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1423BD" w:rsidRDefault="0089667E" w:rsidP="00DE624B">
      <w:pPr>
        <w:spacing w:line="36" w:lineRule="atLeast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1423B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1423B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1423BD" w:rsidRDefault="00AF4104" w:rsidP="00DE624B">
      <w:pPr>
        <w:spacing w:line="36" w:lineRule="atLeast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BA2DC1" w:rsidRPr="009F7F3C" w:rsidRDefault="00AF4104" w:rsidP="00DE624B">
      <w:pPr>
        <w:spacing w:line="36" w:lineRule="atLeast"/>
        <w:ind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3BD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1423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C0D8D">
        <w:rPr>
          <w:rFonts w:asciiTheme="minorHAnsi" w:hAnsiTheme="minorHAnsi" w:cstheme="minorHAnsi"/>
          <w:b/>
          <w:sz w:val="22"/>
          <w:szCs w:val="22"/>
          <w:u w:val="single"/>
        </w:rPr>
        <w:t>69</w:t>
      </w:r>
    </w:p>
    <w:p w:rsidR="00AF4104" w:rsidRPr="001423BD" w:rsidRDefault="00AF4104" w:rsidP="00DE624B">
      <w:pPr>
        <w:spacing w:line="36" w:lineRule="atLeast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423BD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C0D8D" w:rsidRPr="00DC0D8D" w:rsidRDefault="00AF4104" w:rsidP="00DE624B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" w:lineRule="atLeast"/>
        <w:ind w:left="43" w:firstLine="317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3BD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1423BD">
        <w:rPr>
          <w:rFonts w:asciiTheme="minorHAnsi" w:hAnsiTheme="minorHAnsi" w:cstheme="minorHAnsi"/>
          <w:sz w:val="22"/>
          <w:szCs w:val="22"/>
        </w:rPr>
        <w:t>:</w:t>
      </w:r>
      <w:r w:rsidR="00810393" w:rsidRPr="001423BD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C0D8D" w:rsidRPr="00DC0D8D">
        <w:rPr>
          <w:rFonts w:asciiTheme="minorHAnsi" w:hAnsiTheme="minorHAnsi" w:cstheme="minorHAnsi"/>
          <w:b/>
          <w:sz w:val="22"/>
          <w:szCs w:val="22"/>
        </w:rPr>
        <w:t xml:space="preserve">Ορισμός εκπροσώπου του Δήμου </w:t>
      </w:r>
      <w:proofErr w:type="spellStart"/>
      <w:r w:rsidR="00DC0D8D" w:rsidRPr="00DC0D8D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DC0D8D" w:rsidRPr="00DC0D8D">
        <w:rPr>
          <w:rFonts w:asciiTheme="minorHAnsi" w:hAnsiTheme="minorHAnsi" w:cstheme="minorHAnsi"/>
          <w:b/>
          <w:sz w:val="22"/>
          <w:szCs w:val="22"/>
        </w:rPr>
        <w:t xml:space="preserve"> που με την υπογραφή του θα δεσμεύσει τον Δήμο στην Τράπεζα </w:t>
      </w:r>
      <w:proofErr w:type="spellStart"/>
      <w:r w:rsidR="00DC0D8D" w:rsidRPr="00DC0D8D">
        <w:rPr>
          <w:rFonts w:asciiTheme="minorHAnsi" w:hAnsiTheme="minorHAnsi" w:cstheme="minorHAnsi"/>
          <w:b/>
          <w:sz w:val="22"/>
          <w:szCs w:val="22"/>
          <w:lang w:val="en-US"/>
        </w:rPr>
        <w:t>Eurobank</w:t>
      </w:r>
      <w:proofErr w:type="spellEnd"/>
      <w:r w:rsidR="00DC0D8D" w:rsidRPr="00DC0D8D">
        <w:rPr>
          <w:rFonts w:asciiTheme="minorHAnsi" w:hAnsiTheme="minorHAnsi" w:cstheme="minorHAnsi"/>
          <w:b/>
          <w:sz w:val="22"/>
          <w:szCs w:val="22"/>
        </w:rPr>
        <w:t xml:space="preserve">, για την ολοκλήρωση της διαδικασίας μεταφοράς των ταμειακών υπολοίπων των τραπεζικών λογαριασμών της </w:t>
      </w:r>
      <w:proofErr w:type="spellStart"/>
      <w:r w:rsidR="00DC0D8D" w:rsidRPr="00DC0D8D">
        <w:rPr>
          <w:rFonts w:asciiTheme="minorHAnsi" w:hAnsiTheme="minorHAnsi" w:cstheme="minorHAnsi"/>
          <w:b/>
          <w:sz w:val="22"/>
          <w:szCs w:val="22"/>
        </w:rPr>
        <w:t>λυθείσας</w:t>
      </w:r>
      <w:proofErr w:type="spellEnd"/>
      <w:r w:rsidR="00DC0D8D" w:rsidRPr="00DC0D8D">
        <w:rPr>
          <w:rFonts w:asciiTheme="minorHAnsi" w:hAnsiTheme="minorHAnsi" w:cstheme="minorHAnsi"/>
          <w:b/>
          <w:sz w:val="22"/>
          <w:szCs w:val="22"/>
        </w:rPr>
        <w:t xml:space="preserve"> Κοινωφελούς Επιχείρησης του Δήμου </w:t>
      </w:r>
      <w:proofErr w:type="spellStart"/>
      <w:r w:rsidR="00DC0D8D" w:rsidRPr="00DC0D8D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DC0D8D" w:rsidRPr="00DC0D8D">
        <w:rPr>
          <w:rFonts w:asciiTheme="minorHAnsi" w:hAnsiTheme="minorHAnsi" w:cstheme="minorHAnsi"/>
          <w:b/>
          <w:sz w:val="22"/>
          <w:szCs w:val="22"/>
        </w:rPr>
        <w:t xml:space="preserve"> (Κ.Ε.ΔΗ.Λ.), σε λογαριασμό του Δήμου και κλεισίματος των λογαριασμών αυτών.</w:t>
      </w:r>
    </w:p>
    <w:p w:rsidR="009F7F3C" w:rsidRPr="006B1E0C" w:rsidRDefault="009F7F3C" w:rsidP="00DE624B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" w:lineRule="atLeast"/>
        <w:ind w:left="43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531B" w:rsidRPr="001423BD" w:rsidRDefault="003B531B" w:rsidP="00DE624B">
      <w:pPr>
        <w:spacing w:line="36" w:lineRule="atLeast"/>
        <w:ind w:left="360"/>
        <w:rPr>
          <w:rFonts w:asciiTheme="minorHAnsi" w:eastAsia="Cambria" w:hAnsiTheme="minorHAnsi" w:cstheme="minorHAnsi"/>
          <w:sz w:val="22"/>
          <w:szCs w:val="22"/>
        </w:rPr>
      </w:pPr>
    </w:p>
    <w:p w:rsidR="00DB420F" w:rsidRPr="001423BD" w:rsidRDefault="00DB420F" w:rsidP="007F12CE">
      <w:pPr>
        <w:spacing w:beforeLines="20" w:afterLines="20" w:line="3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1423BD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BA2DC1" w:rsidRPr="001423BD">
        <w:rPr>
          <w:rStyle w:val="FontStyle17"/>
          <w:rFonts w:asciiTheme="minorHAnsi" w:eastAsia="Calibri" w:hAnsiTheme="minorHAnsi" w:cstheme="minorHAnsi"/>
          <w:spacing w:val="-3"/>
        </w:rPr>
        <w:t>5390/22-3-2024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254090" w:rsidRPr="001423BD" w:rsidRDefault="002276E2" w:rsidP="00DE624B">
      <w:pPr>
        <w:pStyle w:val="Default"/>
        <w:spacing w:line="36" w:lineRule="atLeas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BA2DC1" w:rsidRPr="001423BD">
        <w:rPr>
          <w:rStyle w:val="FontStyle17"/>
          <w:rFonts w:asciiTheme="minorHAnsi" w:eastAsia="Arial" w:hAnsiTheme="minorHAnsi" w:cstheme="minorHAnsi"/>
          <w:spacing w:val="-3"/>
        </w:rPr>
        <w:t>22</w:t>
      </w:r>
      <w:r w:rsidR="00254090" w:rsidRPr="001423BD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254090" w:rsidRPr="001423BD" w:rsidRDefault="00254090" w:rsidP="00DE624B">
      <w:pPr>
        <w:tabs>
          <w:tab w:val="left" w:pos="0"/>
        </w:tabs>
        <w:spacing w:line="36" w:lineRule="atLeast"/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4090" w:rsidRPr="001423BD" w:rsidRDefault="00254090" w:rsidP="00DE624B">
      <w:pPr>
        <w:spacing w:line="36" w:lineRule="atLeast"/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54090" w:rsidRPr="001423BD" w:rsidRDefault="00254090" w:rsidP="00DE624B">
      <w:pPr>
        <w:spacing w:line="36" w:lineRule="atLeast"/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254090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BA2DC1" w:rsidRPr="001423BD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DC1" w:rsidRPr="001423BD" w:rsidRDefault="00BA2DC1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1423BD" w:rsidRDefault="00DB420F" w:rsidP="00DE624B">
      <w:pPr>
        <w:pStyle w:val="Default"/>
        <w:spacing w:line="36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B420F" w:rsidRPr="001423BD" w:rsidRDefault="00DB420F" w:rsidP="00DE624B">
      <w:pPr>
        <w:pStyle w:val="a5"/>
        <w:spacing w:before="1" w:line="36" w:lineRule="atLeast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B420F" w:rsidRPr="001423BD" w:rsidRDefault="00DB420F" w:rsidP="00DE624B">
      <w:pPr>
        <w:pStyle w:val="a5"/>
        <w:spacing w:before="1" w:line="36" w:lineRule="atLeast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3B531B" w:rsidRPr="001423BD" w:rsidRDefault="00DB420F" w:rsidP="00DE624B">
      <w:pPr>
        <w:autoSpaceDE w:val="0"/>
        <w:autoSpaceDN w:val="0"/>
        <w:adjustRightInd w:val="0"/>
        <w:spacing w:line="36" w:lineRule="atLeast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9F7F3C">
        <w:rPr>
          <w:rFonts w:asciiTheme="minorHAnsi" w:hAnsiTheme="minorHAnsi" w:cstheme="minorHAnsi"/>
          <w:sz w:val="22"/>
          <w:szCs w:val="22"/>
        </w:rPr>
        <w:t>1</w:t>
      </w:r>
      <w:r w:rsidR="00BA2DC1"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BA2DC1" w:rsidRPr="001423BD">
        <w:rPr>
          <w:rStyle w:val="FontStyle17"/>
          <w:rFonts w:asciiTheme="minorHAnsi" w:hAnsiTheme="minorHAnsi" w:cstheme="minorHAnsi"/>
          <w:spacing w:val="-3"/>
        </w:rPr>
        <w:t>5390/22-3-2024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  Πρόσκλησης  </w:t>
      </w:r>
      <w:r w:rsidR="00D55370" w:rsidRPr="001423BD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781EB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3D1F"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3B531B" w:rsidRPr="001423B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 του Δημοτικού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 Συμβουλίου</w:t>
      </w:r>
      <w:r w:rsidR="003B531B" w:rsidRPr="00142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531B" w:rsidRPr="001423BD">
        <w:rPr>
          <w:rFonts w:asciiTheme="minorHAnsi" w:hAnsiTheme="minorHAnsi" w:cstheme="minorHAnsi"/>
          <w:sz w:val="22"/>
          <w:szCs w:val="22"/>
        </w:rPr>
        <w:t>τ</w:t>
      </w:r>
      <w:r w:rsidR="00BA2DC1"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531B" w:rsidRPr="001423B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3B531B" w:rsidRPr="001423BD">
        <w:rPr>
          <w:rFonts w:asciiTheme="minorHAnsi" w:hAnsiTheme="minorHAnsi" w:cstheme="minorHAnsi"/>
          <w:sz w:val="22"/>
          <w:szCs w:val="22"/>
        </w:rPr>
        <w:t xml:space="preserve">. </w:t>
      </w:r>
      <w:r w:rsidR="00BA2DC1" w:rsidRPr="001423BD">
        <w:rPr>
          <w:rFonts w:asciiTheme="minorHAnsi" w:hAnsiTheme="minorHAnsi" w:cstheme="minorHAnsi"/>
          <w:sz w:val="22"/>
          <w:szCs w:val="22"/>
        </w:rPr>
        <w:t>5</w:t>
      </w:r>
      <w:r w:rsidR="00DC0D8D">
        <w:rPr>
          <w:rFonts w:asciiTheme="minorHAnsi" w:hAnsiTheme="minorHAnsi" w:cstheme="minorHAnsi"/>
          <w:sz w:val="22"/>
          <w:szCs w:val="22"/>
        </w:rPr>
        <w:t>378</w:t>
      </w:r>
      <w:r w:rsidR="00BA2DC1" w:rsidRPr="001423BD">
        <w:rPr>
          <w:rFonts w:asciiTheme="minorHAnsi" w:hAnsiTheme="minorHAnsi" w:cstheme="minorHAnsi"/>
          <w:sz w:val="22"/>
          <w:szCs w:val="22"/>
        </w:rPr>
        <w:t>/2</w:t>
      </w:r>
      <w:r w:rsidR="00DC0D8D">
        <w:rPr>
          <w:rFonts w:asciiTheme="minorHAnsi" w:hAnsiTheme="minorHAnsi" w:cstheme="minorHAnsi"/>
          <w:sz w:val="22"/>
          <w:szCs w:val="22"/>
        </w:rPr>
        <w:t>2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-3-2024 έγγραφο της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9F7F3C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="009F7F3C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9F7F3C">
        <w:rPr>
          <w:rFonts w:asciiTheme="minorHAnsi" w:hAnsiTheme="minorHAnsi" w:cstheme="minorHAnsi"/>
          <w:sz w:val="22"/>
          <w:szCs w:val="22"/>
        </w:rPr>
        <w:t xml:space="preserve"> Διοικητικών Υπηρεσιών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του Δήμου </w:t>
      </w:r>
      <w:r w:rsidR="00BA2DC1" w:rsidRPr="001423BD">
        <w:rPr>
          <w:rFonts w:asciiTheme="minorHAnsi" w:hAnsiTheme="minorHAnsi" w:cstheme="minorHAnsi"/>
          <w:sz w:val="22"/>
          <w:szCs w:val="22"/>
        </w:rPr>
        <w:t>σύμφωνα με το οποίο</w:t>
      </w:r>
      <w:r w:rsidR="001B5E9C">
        <w:rPr>
          <w:rFonts w:asciiTheme="minorHAnsi" w:hAnsiTheme="minorHAnsi" w:cstheme="minorHAnsi"/>
          <w:sz w:val="22"/>
          <w:szCs w:val="22"/>
        </w:rPr>
        <w:t>:</w:t>
      </w:r>
    </w:p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7B52">
        <w:rPr>
          <w:rFonts w:asciiTheme="minorHAnsi" w:hAnsiTheme="minorHAnsi" w:cstheme="minorHAnsi"/>
          <w:bCs/>
          <w:sz w:val="22"/>
          <w:szCs w:val="22"/>
        </w:rPr>
        <w:t xml:space="preserve">Με την υπ’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>. 488/03.01.2024 (ΑΔΑ: 9Ι8ΜΟΡ10-54Ψ) Διαπιστωτική πράξη του Γραμματέα της οικείας Αποκεντρωμένης Διοίκησης</w:t>
      </w:r>
      <w:r w:rsidRPr="00A07B52">
        <w:rPr>
          <w:rFonts w:asciiTheme="minorHAnsi" w:hAnsiTheme="minorHAnsi" w:cstheme="minorHAnsi"/>
          <w:sz w:val="22"/>
          <w:szCs w:val="22"/>
        </w:rPr>
        <w:t xml:space="preserve">  , η οποία </w:t>
      </w:r>
      <w:r w:rsidRPr="00A07B52">
        <w:rPr>
          <w:rFonts w:asciiTheme="minorHAnsi" w:hAnsiTheme="minorHAnsi" w:cstheme="minorHAnsi"/>
          <w:bCs/>
          <w:sz w:val="22"/>
          <w:szCs w:val="22"/>
        </w:rPr>
        <w:t xml:space="preserve"> δημοσιεύθηκε στο ΦΕΚ 82/ τ.Β/09.01.2024  διαπιστώθηκε η αυτοδίκαιη λύση  της Κοινωφελούς Επιχείρησης Δήμου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 xml:space="preserve"> στις 31/12/2023  , σε εφαρμογή των διατάξεων του άρθρου 29 του Ν. 5056/2023 .</w:t>
      </w:r>
    </w:p>
    <w:p w:rsidR="00DC0D8D" w:rsidRPr="00A07B52" w:rsidRDefault="00DC0D8D" w:rsidP="00DE624B">
      <w:pPr>
        <w:spacing w:line="36" w:lineRule="atLeast"/>
        <w:ind w:left="-1"/>
        <w:jc w:val="both"/>
        <w:rPr>
          <w:rFonts w:asciiTheme="minorHAnsi" w:hAnsiTheme="minorHAnsi" w:cstheme="minorHAnsi"/>
          <w:sz w:val="22"/>
          <w:szCs w:val="22"/>
        </w:rPr>
      </w:pPr>
    </w:p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A07B52">
        <w:rPr>
          <w:rFonts w:asciiTheme="minorHAnsi" w:hAnsiTheme="minorHAnsi" w:cstheme="minorHAnsi"/>
          <w:bCs/>
          <w:sz w:val="22"/>
          <w:szCs w:val="22"/>
        </w:rPr>
        <w:t>Στην  παρ. 3γ του άρθρου 29 του ν. 5056/23  ορίζεται ότι: «</w:t>
      </w:r>
      <w:r w:rsidRPr="00A07B52">
        <w:rPr>
          <w:rFonts w:asciiTheme="minorHAnsi" w:hAnsiTheme="minorHAnsi" w:cstheme="minorHAnsi"/>
          <w:bCs/>
          <w:i/>
          <w:sz w:val="22"/>
          <w:szCs w:val="22"/>
        </w:rPr>
        <w:t>3.</w:t>
      </w:r>
      <w:r w:rsidRPr="00A07B5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γ. Ταμειακά υπόλοιπα και υπόλοιπα τραπεζικών λογαριασμών των καταργούμενων νομικών προσώπων μεταφέρονται με απόφαση της οικείας δημοτικής επιτροπής σε λογαριασμό του δήμου. Με την ίδια ή όμοια απόφαση κλείνουν οι προαναφερθέντες τραπεζικοί λογαριασμοί των καταργούμενων νομικών προσώπων».</w:t>
      </w:r>
    </w:p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C0D8D" w:rsidRPr="00A07B52" w:rsidRDefault="00DC0D8D" w:rsidP="00DE624B">
      <w:pPr>
        <w:spacing w:line="36" w:lineRule="atLeast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A07B52">
        <w:rPr>
          <w:rFonts w:asciiTheme="minorHAnsi" w:hAnsiTheme="minorHAnsi" w:cstheme="minorHAnsi"/>
          <w:sz w:val="22"/>
          <w:szCs w:val="22"/>
        </w:rPr>
        <w:t xml:space="preserve">Σε εφαρμογή των ανωτέρω , με την υπ’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. απόφαση 2/2024 ΑΠ 1653/25.01.2024 (ΑΔΑ: </w:t>
      </w:r>
      <w:r w:rsidRPr="00A07B52">
        <w:rPr>
          <w:rFonts w:asciiTheme="minorHAnsi" w:hAnsiTheme="minorHAnsi" w:cstheme="minorHAnsi"/>
          <w:spacing w:val="-2"/>
          <w:sz w:val="22"/>
          <w:szCs w:val="22"/>
        </w:rPr>
        <w:t>Ψ4Ν7ΩΛΗ-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ΔΗ9) </w:t>
      </w:r>
      <w:r w:rsidRPr="00A07B52">
        <w:rPr>
          <w:rFonts w:asciiTheme="minorHAnsi" w:hAnsiTheme="minorHAnsi" w:cstheme="minorHAnsi"/>
          <w:sz w:val="22"/>
          <w:szCs w:val="22"/>
        </w:rPr>
        <w:t xml:space="preserve">της Δημοτικής Επιτροπής του Δήμου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εγκρίθηκε η</w:t>
      </w:r>
      <w:r w:rsidRPr="00A07B5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μεταφορά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στο</w:t>
      </w:r>
      <w:r w:rsidRPr="00A07B5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Δήμο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των</w:t>
      </w:r>
      <w:r w:rsidRPr="00A07B5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ταμειακών</w:t>
      </w:r>
      <w:r w:rsidRPr="00A07B5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υπολοίπων</w:t>
      </w:r>
      <w:r w:rsidRPr="00A07B5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pacing w:val="-2"/>
          <w:sz w:val="22"/>
          <w:szCs w:val="22"/>
        </w:rPr>
        <w:t xml:space="preserve">τραπεζικών </w:t>
      </w:r>
      <w:r w:rsidRPr="00A07B52">
        <w:rPr>
          <w:rFonts w:asciiTheme="minorHAnsi" w:hAnsiTheme="minorHAnsi" w:cstheme="minorHAnsi"/>
          <w:sz w:val="22"/>
          <w:szCs w:val="22"/>
        </w:rPr>
        <w:t>λογαριασμών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της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λυθείσας</w:t>
      </w:r>
      <w:proofErr w:type="spellEnd"/>
      <w:r w:rsidRPr="00A07B52">
        <w:rPr>
          <w:rFonts w:asciiTheme="minorHAnsi" w:hAnsiTheme="minorHAnsi" w:cstheme="minorHAnsi"/>
          <w:spacing w:val="-4"/>
          <w:sz w:val="22"/>
          <w:szCs w:val="22"/>
        </w:rPr>
        <w:t xml:space="preserve"> Κ</w:t>
      </w:r>
      <w:r w:rsidRPr="00A07B52">
        <w:rPr>
          <w:rFonts w:asciiTheme="minorHAnsi" w:hAnsiTheme="minorHAnsi" w:cstheme="minorHAnsi"/>
          <w:sz w:val="22"/>
          <w:szCs w:val="22"/>
        </w:rPr>
        <w:t>οινωφελούς</w:t>
      </w:r>
      <w:r w:rsidRPr="00A07B5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Επιχείρησης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του</w:t>
      </w:r>
      <w:r w:rsidRPr="00A07B5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Δήμου</w:t>
      </w:r>
      <w:r w:rsidRPr="00A07B5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(Κ.Ε.Δ.Η.Λ.)</w:t>
      </w:r>
      <w:r w:rsidRPr="00A07B5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sz w:val="22"/>
          <w:szCs w:val="22"/>
        </w:rPr>
        <w:t>, καθώς και το κλείσιμο αυτών των τραπεζικών λογαριασμών , ήτοι : .</w:t>
      </w:r>
    </w:p>
    <w:p w:rsidR="00DC0D8D" w:rsidRPr="00A07B52" w:rsidRDefault="00DC0D8D" w:rsidP="00DE624B">
      <w:pPr>
        <w:spacing w:line="36" w:lineRule="atLeast"/>
        <w:ind w:left="-1"/>
        <w:jc w:val="both"/>
        <w:rPr>
          <w:rFonts w:asciiTheme="minorHAnsi" w:hAnsiTheme="minorHAnsi" w:cstheme="minorHAnsi"/>
          <w:sz w:val="22"/>
          <w:szCs w:val="22"/>
        </w:rPr>
      </w:pPr>
    </w:p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B52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λυθείσα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Κοινωφελής Επιχείρηση του Δήμου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(Κ.Ε.ΔΗ.Λ.) διατηρεί στην τράπεζα </w:t>
      </w:r>
      <w:proofErr w:type="spellStart"/>
      <w:r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τέσσερις τραπεζικούς λογαριασμούς </w:t>
      </w:r>
      <w:r w:rsidRPr="00A07B52">
        <w:rPr>
          <w:rFonts w:asciiTheme="minorHAnsi" w:hAnsiTheme="minorHAnsi" w:cstheme="minorHAnsi"/>
          <w:bCs/>
          <w:sz w:val="22"/>
          <w:szCs w:val="22"/>
        </w:rPr>
        <w:t>οι οποίοι κατά την 09/01/2024 εμφανίζουν υπόλοιπα όπως φαίνονται στον ακόλουθο πίνακα:</w:t>
      </w:r>
    </w:p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f2"/>
        <w:tblW w:w="10173" w:type="dxa"/>
        <w:tblLayout w:type="fixed"/>
        <w:tblLook w:val="04A0"/>
      </w:tblPr>
      <w:tblGrid>
        <w:gridCol w:w="499"/>
        <w:gridCol w:w="1230"/>
        <w:gridCol w:w="1214"/>
        <w:gridCol w:w="2410"/>
        <w:gridCol w:w="3119"/>
        <w:gridCol w:w="1701"/>
      </w:tblGrid>
      <w:tr w:rsidR="00DC0D8D" w:rsidRPr="00DC0D8D" w:rsidTr="00CC544E">
        <w:tc>
          <w:tcPr>
            <w:tcW w:w="49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3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</w:rPr>
              <w:t>Πιστωτικό ίδρυμα</w:t>
            </w:r>
          </w:p>
        </w:tc>
        <w:tc>
          <w:tcPr>
            <w:tcW w:w="1214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</w:rPr>
              <w:t>Δικαιούχος</w:t>
            </w:r>
          </w:p>
        </w:tc>
        <w:tc>
          <w:tcPr>
            <w:tcW w:w="241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</w:rPr>
              <w:t>Αριθμός Λογαριασμού</w:t>
            </w:r>
          </w:p>
        </w:tc>
        <w:tc>
          <w:tcPr>
            <w:tcW w:w="311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  <w:lang w:val="en-US"/>
              </w:rPr>
              <w:t>IBAN</w:t>
            </w:r>
          </w:p>
        </w:tc>
        <w:tc>
          <w:tcPr>
            <w:tcW w:w="1701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C0D8D">
              <w:rPr>
                <w:rFonts w:asciiTheme="minorHAnsi" w:hAnsiTheme="minorHAnsi" w:cstheme="minorHAnsi"/>
                <w:b/>
              </w:rPr>
              <w:t>Υπόλοιπο λογαριασμού</w:t>
            </w:r>
          </w:p>
        </w:tc>
      </w:tr>
      <w:tr w:rsidR="00DC0D8D" w:rsidRPr="00DC0D8D" w:rsidTr="00CC544E">
        <w:tc>
          <w:tcPr>
            <w:tcW w:w="49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3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EUROBANK</w:t>
            </w:r>
          </w:p>
        </w:tc>
        <w:tc>
          <w:tcPr>
            <w:tcW w:w="1214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 xml:space="preserve">Κ.Ε.ΔΗ.Λ </w:t>
            </w:r>
          </w:p>
        </w:tc>
        <w:tc>
          <w:tcPr>
            <w:tcW w:w="241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DC0D8D">
              <w:rPr>
                <w:rFonts w:asciiTheme="minorHAnsi" w:hAnsiTheme="minorHAnsi" w:cstheme="minorHAnsi"/>
                <w:bCs/>
              </w:rPr>
              <w:t>0026.029335.0200889241</w:t>
            </w:r>
          </w:p>
        </w:tc>
        <w:tc>
          <w:tcPr>
            <w:tcW w:w="311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GR</w:t>
            </w:r>
            <w:r w:rsidRPr="00DC0D8D">
              <w:rPr>
                <w:rFonts w:asciiTheme="minorHAnsi" w:hAnsiTheme="minorHAnsi" w:cstheme="minorHAnsi"/>
                <w:bCs/>
              </w:rPr>
              <w:t>6902602930000350200889241</w:t>
            </w:r>
          </w:p>
        </w:tc>
        <w:tc>
          <w:tcPr>
            <w:tcW w:w="1701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DC0D8D">
              <w:rPr>
                <w:rFonts w:asciiTheme="minorHAnsi" w:hAnsiTheme="minorHAnsi" w:cstheme="minorHAnsi"/>
                <w:bCs/>
              </w:rPr>
              <w:t>316.679,29</w:t>
            </w:r>
          </w:p>
        </w:tc>
      </w:tr>
      <w:tr w:rsidR="00DC0D8D" w:rsidRPr="00DC0D8D" w:rsidTr="00CC544E">
        <w:tc>
          <w:tcPr>
            <w:tcW w:w="49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3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EUROBANK</w:t>
            </w:r>
          </w:p>
        </w:tc>
        <w:tc>
          <w:tcPr>
            <w:tcW w:w="1214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 xml:space="preserve">Κ.Ε.ΔΗ.Λ </w:t>
            </w:r>
          </w:p>
        </w:tc>
        <w:tc>
          <w:tcPr>
            <w:tcW w:w="241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0026.0293.31.0200981774</w:t>
            </w:r>
          </w:p>
        </w:tc>
        <w:tc>
          <w:tcPr>
            <w:tcW w:w="311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GR6402602930000310200981774</w:t>
            </w:r>
          </w:p>
        </w:tc>
        <w:tc>
          <w:tcPr>
            <w:tcW w:w="1701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41.865,15</w:t>
            </w:r>
          </w:p>
        </w:tc>
      </w:tr>
      <w:tr w:rsidR="00DC0D8D" w:rsidRPr="00DC0D8D" w:rsidTr="00CC544E">
        <w:tc>
          <w:tcPr>
            <w:tcW w:w="49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  <w:tc>
          <w:tcPr>
            <w:tcW w:w="123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EUROBANK</w:t>
            </w:r>
          </w:p>
        </w:tc>
        <w:tc>
          <w:tcPr>
            <w:tcW w:w="1214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Κ.Ε.ΔΗ.Λ</w:t>
            </w:r>
          </w:p>
        </w:tc>
        <w:tc>
          <w:tcPr>
            <w:tcW w:w="241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0026.0293.37.0201149712</w:t>
            </w:r>
          </w:p>
        </w:tc>
        <w:tc>
          <w:tcPr>
            <w:tcW w:w="311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GR1902602930000370201149712</w:t>
            </w:r>
          </w:p>
        </w:tc>
        <w:tc>
          <w:tcPr>
            <w:tcW w:w="1701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0,00</w:t>
            </w:r>
          </w:p>
        </w:tc>
      </w:tr>
      <w:tr w:rsidR="00DC0D8D" w:rsidRPr="00DC0D8D" w:rsidTr="00CC544E">
        <w:tc>
          <w:tcPr>
            <w:tcW w:w="49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123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DC0D8D">
              <w:rPr>
                <w:rFonts w:asciiTheme="minorHAnsi" w:hAnsiTheme="minorHAnsi" w:cstheme="minorHAnsi"/>
                <w:bCs/>
                <w:lang w:val="en-US"/>
              </w:rPr>
              <w:t>EUROBANK</w:t>
            </w:r>
          </w:p>
        </w:tc>
        <w:tc>
          <w:tcPr>
            <w:tcW w:w="1214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Κ.Ε.ΔΗ.Λ</w:t>
            </w:r>
          </w:p>
        </w:tc>
        <w:tc>
          <w:tcPr>
            <w:tcW w:w="2410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0026.0293.35.0200751134</w:t>
            </w:r>
          </w:p>
        </w:tc>
        <w:tc>
          <w:tcPr>
            <w:tcW w:w="3119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GR8402602930000350200751134</w:t>
            </w:r>
          </w:p>
        </w:tc>
        <w:tc>
          <w:tcPr>
            <w:tcW w:w="1701" w:type="dxa"/>
          </w:tcPr>
          <w:p w:rsidR="00DC0D8D" w:rsidRPr="00DC0D8D" w:rsidRDefault="00DC0D8D" w:rsidP="00DE624B">
            <w:pPr>
              <w:spacing w:line="36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DC0D8D">
              <w:rPr>
                <w:rFonts w:asciiTheme="minorHAnsi" w:hAnsiTheme="minorHAnsi" w:cstheme="minorHAnsi"/>
                <w:bCs/>
              </w:rPr>
              <w:t>2.106,83</w:t>
            </w:r>
          </w:p>
        </w:tc>
      </w:tr>
    </w:tbl>
    <w:p w:rsidR="00DC0D8D" w:rsidRPr="00A07B52" w:rsidRDefault="00DC0D8D" w:rsidP="00DE624B">
      <w:pPr>
        <w:spacing w:line="3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0D8D" w:rsidRPr="00A07B52" w:rsidRDefault="00DC0D8D" w:rsidP="00DE624B">
      <w:pPr>
        <w:shd w:val="clear" w:color="auto" w:fill="FFFFFF"/>
        <w:spacing w:before="100" w:beforeAutospacing="1" w:after="100" w:afterAutospacing="1" w:line="36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sz w:val="22"/>
          <w:szCs w:val="22"/>
        </w:rPr>
        <w:t xml:space="preserve"> Η  αρμόδια  οικονομική υπηρεσία του Δήμου  ,  στις  05.03.2024 απέστειλε στην Τράπεζα </w:t>
      </w:r>
      <w:proofErr w:type="spellStart"/>
      <w:r w:rsidRPr="00A07B52">
        <w:rPr>
          <w:rFonts w:asciiTheme="minorHAnsi" w:hAnsiTheme="minorHAnsi" w:cstheme="minorHAnsi"/>
          <w:color w:val="222222"/>
          <w:sz w:val="22"/>
          <w:szCs w:val="22"/>
          <w:lang w:val="en-US"/>
        </w:rPr>
        <w:t>Eurobank</w:t>
      </w:r>
      <w:proofErr w:type="spellEnd"/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 μέσω ηλεκτρονικής αλληλογραφίας, τα κάτωθι δικαιολογητικά , προκειμένου να προχωρήσει η διαδικασία  μεταφοράς των ταμειακών υπολοίπων σε λογαριασμό του Δήμου </w:t>
      </w:r>
      <w:proofErr w:type="spellStart"/>
      <w:r w:rsidRPr="00A07B52">
        <w:rPr>
          <w:rFonts w:asciiTheme="minorHAnsi" w:hAnsiTheme="minorHAnsi" w:cstheme="minorHAnsi"/>
          <w:color w:val="222222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 : 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Τις  </w:t>
      </w:r>
      <w:proofErr w:type="spellStart"/>
      <w:r w:rsidRPr="00A07B52">
        <w:rPr>
          <w:rFonts w:asciiTheme="minorHAnsi" w:hAnsiTheme="minorHAnsi" w:cstheme="minorHAnsi"/>
          <w:color w:val="222222"/>
          <w:sz w:val="22"/>
          <w:szCs w:val="22"/>
        </w:rPr>
        <w:t>υπ΄αριθμ</w:t>
      </w:r>
      <w:proofErr w:type="spellEnd"/>
      <w:r w:rsidRPr="00A07B52">
        <w:rPr>
          <w:rFonts w:asciiTheme="minorHAnsi" w:hAnsiTheme="minorHAnsi" w:cstheme="minorHAnsi"/>
          <w:color w:val="222222"/>
          <w:sz w:val="22"/>
          <w:szCs w:val="22"/>
        </w:rPr>
        <w:t>. 18,20 &amp; 22/2023 Αποφάσεις του Πολυμελούς Πρωτοδικείου  Λιβαδειάς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 Τα Πρακτικά Ορκωμοσίας.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>Το Πρακτικό εκλογής προεδρείου Δημοτικού Συμβουλίου (1/2024 απόφαση Δ.Σ.)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 Το Πρακτικό εκλογής προεδρείου Δημοτικής Επιτροπής (2/2024 απόφαση Δ.Σ.)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 xml:space="preserve"> Την  </w:t>
      </w:r>
      <w:proofErr w:type="spellStart"/>
      <w:r w:rsidRPr="00A07B52">
        <w:rPr>
          <w:rFonts w:asciiTheme="minorHAnsi" w:hAnsiTheme="minorHAnsi" w:cstheme="minorHAnsi"/>
          <w:color w:val="222222"/>
          <w:sz w:val="22"/>
          <w:szCs w:val="22"/>
        </w:rPr>
        <w:t>αριθμ</w:t>
      </w:r>
      <w:proofErr w:type="spellEnd"/>
      <w:r w:rsidRPr="00A07B52">
        <w:rPr>
          <w:rFonts w:asciiTheme="minorHAnsi" w:hAnsiTheme="minorHAnsi" w:cstheme="minorHAnsi"/>
          <w:color w:val="222222"/>
          <w:sz w:val="22"/>
          <w:szCs w:val="22"/>
        </w:rPr>
        <w:t>. 2/2024 απόφαση Δημοτικής Επιτροπής με θέμα:</w:t>
      </w:r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"'</w:t>
      </w:r>
      <w:proofErr w:type="spellStart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Εγκριση</w:t>
      </w:r>
      <w:proofErr w:type="spellEnd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μεταφοράς στο Δήμο   </w:t>
      </w:r>
      <w:proofErr w:type="spellStart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των ταμειακών υπολοίπων τραπεζικών λογαριασμών της </w:t>
      </w:r>
      <w:proofErr w:type="spellStart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λυθείσας</w:t>
      </w:r>
      <w:proofErr w:type="spellEnd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κοινωφελούς  επιχείρησης του Δήμου </w:t>
      </w:r>
      <w:proofErr w:type="spellStart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Λεβαδεων</w:t>
      </w:r>
      <w:proofErr w:type="spellEnd"/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(ΚΕΔΗΛ), καθώς και το κλείσιμο αυτών των τραπεζικών   λογαριασμών «»</w:t>
      </w:r>
    </w:p>
    <w:p w:rsidR="00DC0D8D" w:rsidRPr="00A07B52" w:rsidRDefault="00DC0D8D" w:rsidP="00DE6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" w:lineRule="atLeast"/>
        <w:ind w:left="945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color w:val="222222"/>
          <w:sz w:val="22"/>
          <w:szCs w:val="22"/>
        </w:rPr>
        <w:t>Αντίγραφο του άρθρου 29 του Ν. Ν. 5056/2023( ΦΕΚ 163/Α/6-10-2023) και συγκεκριμένα την παρ. 3γ του άρθρου 29, στην οποία ορίζεται ότι:</w:t>
      </w:r>
      <w:r w:rsidRPr="00A07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 "Ταμειακά υπόλοιπα και υπόλοιπα τραπεζικών λογαριασμών των καταργούμενων νομικών προσώπων μεταφέρονται με απόφαση της οικείας δημοτικής επιτροπής σε λογαριασμό του Δήμου. Με την ίδια  η όμοια απόφαση κλείνουν  οι προαναφερθέντες τραπεζικοί λογαριασμοί των καταργούμενων νομικών προσώπων"</w:t>
      </w:r>
    </w:p>
    <w:p w:rsidR="00DC0D8D" w:rsidRPr="00A07B52" w:rsidRDefault="00DC0D8D" w:rsidP="00DE624B">
      <w:pPr>
        <w:shd w:val="clear" w:color="auto" w:fill="FFFFFF"/>
        <w:spacing w:before="100" w:beforeAutospacing="1" w:after="100" w:afterAutospacing="1" w:line="36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07B52">
        <w:rPr>
          <w:rFonts w:asciiTheme="minorHAnsi" w:hAnsiTheme="minorHAnsi" w:cstheme="minorHAnsi"/>
          <w:bCs/>
          <w:sz w:val="22"/>
          <w:szCs w:val="22"/>
        </w:rPr>
        <w:t xml:space="preserve"> Η Τράπεζα </w:t>
      </w:r>
      <w:r w:rsidRPr="00A07B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,  με το </w:t>
      </w:r>
      <w:r w:rsidRPr="00A07B52">
        <w:rPr>
          <w:rFonts w:asciiTheme="minorHAnsi" w:hAnsiTheme="minorHAnsi" w:cstheme="minorHAnsi"/>
          <w:bCs/>
          <w:sz w:val="22"/>
          <w:szCs w:val="22"/>
        </w:rPr>
        <w:t xml:space="preserve">από 13.03.2024 / Α.Π. 4876 ενημερωτικό έγγραφο  της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κας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Κελερμένου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 xml:space="preserve"> Γεωργίας  μέσω ηλεκτρονικής αλληλογραφίας  ζητά επιπλέον των ανωτέρω  Απόφαση Δημοτικού Συμβουλίου περί ορισμού του προσώπου, που </w:t>
      </w:r>
      <w:r w:rsidRPr="00A07B52">
        <w:rPr>
          <w:rFonts w:asciiTheme="minorHAnsi" w:hAnsiTheme="minorHAnsi" w:cstheme="minorHAnsi"/>
          <w:sz w:val="22"/>
          <w:szCs w:val="22"/>
        </w:rPr>
        <w:t xml:space="preserve">με την υπογραφή του θα δεσμεύσει τον Δήμο στην Τράπεζα </w:t>
      </w:r>
      <w:proofErr w:type="spellStart"/>
      <w:r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, για την ολοκλήρωση της διαδικασίας μεταφοράς των ταμειακών υπολοίπων των τραπεζικών λογαριασμών της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λυθείσας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Κ.Ε.ΔΗ.Λ., σε λογαριασμό του Δήμου και κλεισίματος των λογαριασμών αυτών</w:t>
      </w:r>
      <w:r w:rsidRPr="00A07B52">
        <w:rPr>
          <w:rFonts w:asciiTheme="minorHAnsi" w:hAnsiTheme="minorHAnsi" w:cstheme="minorHAnsi"/>
          <w:bCs/>
          <w:sz w:val="22"/>
          <w:szCs w:val="22"/>
        </w:rPr>
        <w:t>.</w:t>
      </w:r>
    </w:p>
    <w:p w:rsidR="00DC0D8D" w:rsidRPr="00A07B52" w:rsidRDefault="00DC0D8D" w:rsidP="00DE624B">
      <w:pPr>
        <w:tabs>
          <w:tab w:val="left" w:pos="0"/>
        </w:tabs>
        <w:spacing w:line="36" w:lineRule="atLeast"/>
        <w:ind w:right="-109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07B52">
        <w:rPr>
          <w:rFonts w:asciiTheme="minorHAnsi" w:hAnsiTheme="minorHAnsi" w:cstheme="minorHAnsi"/>
          <w:bCs/>
          <w:sz w:val="22"/>
          <w:szCs w:val="22"/>
        </w:rPr>
        <w:t xml:space="preserve">Κατόπιν των ανωτέρω  καλείστε να αποφασίσετε για τον ορισμό εκπροσώπου  του Δήμου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 xml:space="preserve"> που </w:t>
      </w:r>
      <w:r w:rsidRPr="00A07B52">
        <w:rPr>
          <w:rFonts w:asciiTheme="minorHAnsi" w:hAnsiTheme="minorHAnsi" w:cstheme="minorHAnsi"/>
          <w:sz w:val="22"/>
          <w:szCs w:val="22"/>
        </w:rPr>
        <w:t xml:space="preserve">με την υπογραφή του θα δεσμεύσει τον Δήμο  στην Τράπεζα </w:t>
      </w:r>
      <w:proofErr w:type="spellStart"/>
      <w:r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, για την ολοκλήρωση της διαδικασίας μεταφοράς των ταμειακών υπολοίπων των τραπεζικών λογαριασμών της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λυθείσας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Κοινωφελούς Επιχείρησης του Δήμου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 (Κ.Ε.ΔΗ.Λ.), σε λογαριασμό του Δήμου και κλεισίματος των λογαριασμών αυτών</w:t>
      </w:r>
      <w:r w:rsidRPr="00A07B52">
        <w:rPr>
          <w:rFonts w:asciiTheme="minorHAnsi" w:hAnsiTheme="minorHAnsi" w:cstheme="minorHAnsi"/>
          <w:bCs/>
          <w:sz w:val="22"/>
          <w:szCs w:val="22"/>
        </w:rPr>
        <w:t>.</w:t>
      </w:r>
    </w:p>
    <w:p w:rsidR="009F7F3C" w:rsidRPr="0092693C" w:rsidRDefault="009F7F3C" w:rsidP="00DE624B">
      <w:pPr>
        <w:spacing w:line="36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5672" w:rsidRDefault="009F7F3C" w:rsidP="00DE624B">
      <w:pPr>
        <w:pStyle w:val="Default"/>
        <w:spacing w:line="36" w:lineRule="atLeast"/>
        <w:rPr>
          <w:rFonts w:asciiTheme="minorHAnsi" w:hAnsiTheme="minorHAnsi" w:cstheme="minorHAnsi"/>
          <w:iCs/>
          <w:sz w:val="22"/>
          <w:szCs w:val="22"/>
        </w:rPr>
      </w:pPr>
      <w:r w:rsidRPr="009F7F3C">
        <w:rPr>
          <w:rFonts w:asciiTheme="minorHAnsi" w:hAnsiTheme="minorHAnsi" w:cstheme="minorHAnsi"/>
          <w:iCs/>
          <w:sz w:val="22"/>
          <w:szCs w:val="22"/>
        </w:rPr>
        <w:t xml:space="preserve">Λαμβάνοντας το λόγο ο κ. Δήμαρχος πρότεινε ως </w:t>
      </w:r>
      <w:r w:rsidR="003528CC">
        <w:rPr>
          <w:rFonts w:asciiTheme="minorHAnsi" w:hAnsiTheme="minorHAnsi" w:cstheme="minorHAnsi"/>
          <w:bCs/>
          <w:sz w:val="22"/>
          <w:szCs w:val="22"/>
        </w:rPr>
        <w:t>εκπρόσωπο</w:t>
      </w:r>
      <w:r w:rsidR="003528CC" w:rsidRPr="00A07B52">
        <w:rPr>
          <w:rFonts w:asciiTheme="minorHAnsi" w:hAnsiTheme="minorHAnsi" w:cstheme="minorHAnsi"/>
          <w:bCs/>
          <w:sz w:val="22"/>
          <w:szCs w:val="22"/>
        </w:rPr>
        <w:t xml:space="preserve">  του Δήμου </w:t>
      </w:r>
      <w:proofErr w:type="spellStart"/>
      <w:r w:rsidR="003528CC" w:rsidRPr="00A07B5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="003528CC" w:rsidRPr="00A07B52">
        <w:rPr>
          <w:rFonts w:asciiTheme="minorHAnsi" w:hAnsiTheme="minorHAnsi" w:cstheme="minorHAnsi"/>
          <w:bCs/>
          <w:sz w:val="22"/>
          <w:szCs w:val="22"/>
        </w:rPr>
        <w:t xml:space="preserve"> που </w:t>
      </w:r>
      <w:r w:rsidR="003528CC" w:rsidRPr="00A07B52">
        <w:rPr>
          <w:rFonts w:asciiTheme="minorHAnsi" w:hAnsiTheme="minorHAnsi" w:cstheme="minorHAnsi"/>
          <w:sz w:val="22"/>
          <w:szCs w:val="22"/>
        </w:rPr>
        <w:t xml:space="preserve">με την υπογραφή του θα δεσμεύσει τον Δήμο  στην Τράπεζα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, για την ολοκλήρωση της </w:t>
      </w:r>
      <w:r w:rsidR="003528CC" w:rsidRPr="00A07B52">
        <w:rPr>
          <w:rFonts w:asciiTheme="minorHAnsi" w:hAnsiTheme="minorHAnsi" w:cstheme="minorHAnsi"/>
          <w:sz w:val="22"/>
          <w:szCs w:val="22"/>
        </w:rPr>
        <w:lastRenderedPageBreak/>
        <w:t xml:space="preserve">διαδικασίας μεταφοράς των ταμειακών υπολοίπων των τραπεζικών λογαριασμών της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</w:rPr>
        <w:t>λυθείσας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 Κοινωφελούς Επιχείρησης του Δήμου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 (Κ.Ε.ΔΗ.Λ.), σε λογαριασμό του Δήμου και κλεισίματος των λογαριασμών αυτών</w:t>
      </w:r>
      <w:r w:rsidR="003528CC">
        <w:rPr>
          <w:rFonts w:asciiTheme="minorHAnsi" w:hAnsiTheme="minorHAnsi" w:cstheme="minorHAnsi"/>
          <w:sz w:val="22"/>
          <w:szCs w:val="22"/>
        </w:rPr>
        <w:t xml:space="preserve"> τον αντιδήμαρχο Οικονομικών Υπηρεσιών κ. </w:t>
      </w:r>
      <w:proofErr w:type="spellStart"/>
      <w:r w:rsidR="003528CC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="003528CC">
        <w:rPr>
          <w:rFonts w:asciiTheme="minorHAnsi" w:hAnsiTheme="minorHAnsi" w:cstheme="minorHAnsi"/>
          <w:sz w:val="22"/>
          <w:szCs w:val="22"/>
        </w:rPr>
        <w:t xml:space="preserve"> Χρήστο</w:t>
      </w:r>
      <w:r w:rsidRPr="009F7F3C">
        <w:rPr>
          <w:rFonts w:asciiTheme="minorHAnsi" w:hAnsiTheme="minorHAnsi" w:cstheme="minorHAnsi"/>
          <w:iCs/>
          <w:sz w:val="22"/>
          <w:szCs w:val="22"/>
        </w:rPr>
        <w:t>.</w:t>
      </w:r>
    </w:p>
    <w:p w:rsidR="009F7F3C" w:rsidRPr="009F7F3C" w:rsidRDefault="009F7F3C" w:rsidP="00DE624B">
      <w:pPr>
        <w:pStyle w:val="Default"/>
        <w:spacing w:line="36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B526FE" w:rsidRPr="001423BD" w:rsidRDefault="00987834" w:rsidP="00DE624B">
      <w:pPr>
        <w:pStyle w:val="Web"/>
        <w:shd w:val="clear" w:color="auto" w:fill="FFFFFF"/>
        <w:spacing w:before="0" w:after="0"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Style w:val="af3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</w:t>
      </w:r>
      <w:r w:rsidR="00B526FE" w:rsidRPr="001423BD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1423BD" w:rsidRDefault="00B526FE" w:rsidP="00DE624B">
      <w:pPr>
        <w:pStyle w:val="a8"/>
        <w:numPr>
          <w:ilvl w:val="0"/>
          <w:numId w:val="5"/>
        </w:numPr>
        <w:suppressAutoHyphens/>
        <w:spacing w:before="120" w:after="120" w:line="36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3BD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6A6E27" w:rsidRPr="001423BD" w:rsidRDefault="006A6E27" w:rsidP="00DE624B">
      <w:pPr>
        <w:pStyle w:val="a8"/>
        <w:numPr>
          <w:ilvl w:val="0"/>
          <w:numId w:val="5"/>
        </w:numPr>
        <w:suppressAutoHyphens/>
        <w:spacing w:before="120" w:after="120" w:line="36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1423B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23B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1423BD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1423BD" w:rsidRDefault="00B526FE" w:rsidP="00DE624B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987834" w:rsidRPr="003528CC" w:rsidRDefault="00987834" w:rsidP="00DE624B">
      <w:pPr>
        <w:numPr>
          <w:ilvl w:val="0"/>
          <w:numId w:val="5"/>
        </w:numPr>
        <w:tabs>
          <w:tab w:val="center" w:pos="8460"/>
        </w:tabs>
        <w:spacing w:before="113" w:after="113" w:line="36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53</w:t>
      </w:r>
      <w:r w:rsidR="003528CC"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78</w:t>
      </w:r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/2</w:t>
      </w:r>
      <w:r w:rsidR="003528CC"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-3-2024 έγγραφο </w:t>
      </w:r>
      <w:r w:rsidR="003528CC"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3528CC"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3528CC"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Διοικητικών  </w:t>
      </w:r>
      <w:r w:rsidRPr="003528C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 που είχε διανεμηθεί</w:t>
      </w:r>
    </w:p>
    <w:p w:rsidR="00987834" w:rsidRDefault="003528CC" w:rsidP="00DE624B">
      <w:pPr>
        <w:numPr>
          <w:ilvl w:val="0"/>
          <w:numId w:val="5"/>
        </w:numPr>
        <w:tabs>
          <w:tab w:val="left" w:pos="1980"/>
        </w:tabs>
        <w:suppressAutoHyphens/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7B52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A07B5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A07B52">
        <w:rPr>
          <w:rFonts w:asciiTheme="minorHAnsi" w:hAnsiTheme="minorHAnsi" w:cstheme="minorHAnsi"/>
          <w:bCs/>
          <w:sz w:val="22"/>
          <w:szCs w:val="22"/>
        </w:rPr>
        <w:t>. 488/03.01.2024 (ΑΔΑ: 9Ι8ΜΟΡ10-54Ψ) Διαπιστωτική πράξη του Γραμματέα της οικείας Αποκεντρωμένης Διοίκησης</w:t>
      </w:r>
      <w:r w:rsidRPr="00A07B5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528CC" w:rsidRPr="003528CC" w:rsidRDefault="003528CC" w:rsidP="00DE624B">
      <w:pPr>
        <w:numPr>
          <w:ilvl w:val="0"/>
          <w:numId w:val="5"/>
        </w:numPr>
        <w:tabs>
          <w:tab w:val="left" w:pos="1980"/>
        </w:tabs>
        <w:suppressAutoHyphens/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r w:rsidRPr="00A07B52">
        <w:rPr>
          <w:rFonts w:asciiTheme="minorHAnsi" w:hAnsiTheme="minorHAnsi" w:cstheme="minorHAnsi"/>
          <w:bCs/>
          <w:sz w:val="22"/>
          <w:szCs w:val="22"/>
        </w:rPr>
        <w:t>διατάξε</w:t>
      </w:r>
      <w:r>
        <w:rPr>
          <w:rFonts w:asciiTheme="minorHAnsi" w:hAnsiTheme="minorHAnsi" w:cstheme="minorHAnsi"/>
          <w:bCs/>
          <w:sz w:val="22"/>
          <w:szCs w:val="22"/>
        </w:rPr>
        <w:t>ις</w:t>
      </w:r>
      <w:r w:rsidRPr="00A07B52">
        <w:rPr>
          <w:rFonts w:asciiTheme="minorHAnsi" w:hAnsiTheme="minorHAnsi" w:cstheme="minorHAnsi"/>
          <w:bCs/>
          <w:sz w:val="22"/>
          <w:szCs w:val="22"/>
        </w:rPr>
        <w:t xml:space="preserve"> του άρθρου 29 του Ν. 5056/2023</w:t>
      </w:r>
    </w:p>
    <w:p w:rsidR="003528CC" w:rsidRPr="003528CC" w:rsidRDefault="003528CC" w:rsidP="00DE624B">
      <w:pPr>
        <w:numPr>
          <w:ilvl w:val="0"/>
          <w:numId w:val="5"/>
        </w:numPr>
        <w:tabs>
          <w:tab w:val="left" w:pos="1980"/>
        </w:tabs>
        <w:suppressAutoHyphens/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Τις διατάξεις της</w:t>
      </w:r>
      <w:r w:rsidRPr="00A07B52">
        <w:rPr>
          <w:rFonts w:asciiTheme="minorHAnsi" w:hAnsiTheme="minorHAnsi" w:cstheme="minorHAnsi"/>
          <w:bCs/>
          <w:sz w:val="22"/>
          <w:szCs w:val="22"/>
        </w:rPr>
        <w:t xml:space="preserve">  παρ. 3γ του άρθρου 29 του ν. 5056/23  </w:t>
      </w:r>
    </w:p>
    <w:p w:rsidR="003528CC" w:rsidRPr="003528CC" w:rsidRDefault="003528CC" w:rsidP="00DE624B">
      <w:pPr>
        <w:numPr>
          <w:ilvl w:val="0"/>
          <w:numId w:val="5"/>
        </w:numPr>
        <w:tabs>
          <w:tab w:val="left" w:pos="1980"/>
        </w:tabs>
        <w:suppressAutoHyphens/>
        <w:spacing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7B52">
        <w:rPr>
          <w:rFonts w:asciiTheme="minorHAnsi" w:hAnsiTheme="minorHAnsi" w:cstheme="minorHAnsi"/>
          <w:sz w:val="22"/>
          <w:szCs w:val="22"/>
        </w:rPr>
        <w:t xml:space="preserve">την υπ’ </w:t>
      </w:r>
      <w:proofErr w:type="spellStart"/>
      <w:r w:rsidRPr="00A07B5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07B52">
        <w:rPr>
          <w:rFonts w:asciiTheme="minorHAnsi" w:hAnsiTheme="minorHAnsi" w:cstheme="minorHAnsi"/>
          <w:sz w:val="22"/>
          <w:szCs w:val="22"/>
        </w:rPr>
        <w:t xml:space="preserve">. απόφαση 2/2024 ΑΠ 1653/25.01.2024 (ΑΔΑ: </w:t>
      </w:r>
      <w:r w:rsidRPr="00A07B52">
        <w:rPr>
          <w:rFonts w:asciiTheme="minorHAnsi" w:hAnsiTheme="minorHAnsi" w:cstheme="minorHAnsi"/>
          <w:spacing w:val="-2"/>
          <w:sz w:val="22"/>
          <w:szCs w:val="22"/>
        </w:rPr>
        <w:t>Ψ4Ν7ΩΛΗ-</w:t>
      </w:r>
      <w:r w:rsidRPr="00A07B52">
        <w:rPr>
          <w:rFonts w:asciiTheme="minorHAnsi" w:hAnsiTheme="minorHAnsi" w:cstheme="minorHAnsi"/>
          <w:spacing w:val="-5"/>
          <w:sz w:val="22"/>
          <w:szCs w:val="22"/>
        </w:rPr>
        <w:t>ΔΗ9)</w:t>
      </w:r>
    </w:p>
    <w:p w:rsidR="00CA6E68" w:rsidRPr="001423BD" w:rsidRDefault="00CA6E68" w:rsidP="00DE624B">
      <w:pPr>
        <w:pStyle w:val="211"/>
        <w:numPr>
          <w:ilvl w:val="0"/>
          <w:numId w:val="4"/>
        </w:numPr>
        <w:tabs>
          <w:tab w:val="center" w:pos="8460"/>
        </w:tabs>
        <w:spacing w:after="0" w:line="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Default="00CA6E68" w:rsidP="00DE624B">
      <w:pPr>
        <w:pStyle w:val="a5"/>
        <w:numPr>
          <w:ilvl w:val="0"/>
          <w:numId w:val="2"/>
        </w:numPr>
        <w:spacing w:before="120" w:after="120" w:line="36" w:lineRule="atLeast"/>
        <w:jc w:val="both"/>
        <w:rPr>
          <w:rFonts w:asciiTheme="minorHAnsi" w:hAnsiTheme="minorHAnsi" w:cstheme="minorHAnsi"/>
          <w:color w:val="000000"/>
          <w:szCs w:val="22"/>
        </w:rPr>
      </w:pPr>
      <w:r w:rsidRPr="001423BD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1423BD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1423BD" w:rsidRDefault="00CA6E68" w:rsidP="00DE624B">
      <w:pPr>
        <w:tabs>
          <w:tab w:val="center" w:pos="8460"/>
        </w:tabs>
        <w:spacing w:line="36" w:lineRule="atLeast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23B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1423BD" w:rsidRDefault="00CA6E68" w:rsidP="00DE624B">
      <w:pPr>
        <w:tabs>
          <w:tab w:val="center" w:pos="8460"/>
        </w:tabs>
        <w:spacing w:line="36" w:lineRule="atLeast"/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1423BD" w:rsidRDefault="002276E2" w:rsidP="00DE624B">
      <w:pPr>
        <w:tabs>
          <w:tab w:val="center" w:pos="8460"/>
        </w:tabs>
        <w:spacing w:line="36" w:lineRule="atLeast"/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528CC" w:rsidRDefault="009F7F3C" w:rsidP="00DE624B">
      <w:pPr>
        <w:pStyle w:val="Default"/>
        <w:spacing w:line="36" w:lineRule="atLeas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Ορίζει </w:t>
      </w:r>
      <w:r w:rsidR="007B667A">
        <w:rPr>
          <w:rFonts w:asciiTheme="minorHAnsi" w:hAnsiTheme="minorHAnsi" w:cstheme="minorHAnsi"/>
          <w:sz w:val="22"/>
          <w:szCs w:val="22"/>
        </w:rPr>
        <w:t xml:space="preserve">  </w:t>
      </w:r>
      <w:r w:rsidR="007B667A" w:rsidRPr="0092693C">
        <w:rPr>
          <w:rFonts w:asciiTheme="minorHAnsi" w:hAnsiTheme="minorHAnsi" w:cstheme="minorHAnsi"/>
          <w:sz w:val="22"/>
          <w:szCs w:val="22"/>
        </w:rPr>
        <w:t xml:space="preserve"> </w:t>
      </w:r>
      <w:r w:rsidR="003528CC">
        <w:rPr>
          <w:rFonts w:asciiTheme="minorHAnsi" w:hAnsiTheme="minorHAnsi" w:cstheme="minorHAnsi"/>
          <w:sz w:val="22"/>
          <w:szCs w:val="22"/>
        </w:rPr>
        <w:t xml:space="preserve">τον αντιδήμαρχο Οικονομικών Υπηρεσιών κ. </w:t>
      </w:r>
      <w:proofErr w:type="spellStart"/>
      <w:r w:rsidR="003528CC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="003528CC">
        <w:rPr>
          <w:rFonts w:asciiTheme="minorHAnsi" w:hAnsiTheme="minorHAnsi" w:cstheme="minorHAnsi"/>
          <w:sz w:val="22"/>
          <w:szCs w:val="22"/>
        </w:rPr>
        <w:t xml:space="preserve"> Χρήστο</w:t>
      </w:r>
      <w:r w:rsidR="007F12CE">
        <w:rPr>
          <w:rFonts w:asciiTheme="minorHAnsi" w:hAnsiTheme="minorHAnsi" w:cstheme="minorHAnsi"/>
          <w:sz w:val="22"/>
          <w:szCs w:val="22"/>
        </w:rPr>
        <w:t>,</w:t>
      </w:r>
      <w:r w:rsidR="007B667A">
        <w:rPr>
          <w:rFonts w:asciiTheme="minorHAnsi" w:hAnsiTheme="minorHAnsi" w:cstheme="minorHAnsi"/>
          <w:sz w:val="22"/>
          <w:szCs w:val="22"/>
        </w:rPr>
        <w:t xml:space="preserve"> </w:t>
      </w:r>
      <w:r w:rsidR="007B667A" w:rsidRPr="0092693C">
        <w:rPr>
          <w:rFonts w:asciiTheme="minorHAnsi" w:hAnsiTheme="minorHAnsi" w:cstheme="minorHAnsi"/>
          <w:sz w:val="22"/>
          <w:szCs w:val="22"/>
        </w:rPr>
        <w:t xml:space="preserve"> </w:t>
      </w:r>
      <w:r w:rsidR="003528CC" w:rsidRPr="009F7F3C">
        <w:rPr>
          <w:rFonts w:asciiTheme="minorHAnsi" w:hAnsiTheme="minorHAnsi" w:cstheme="minorHAnsi"/>
          <w:iCs/>
          <w:sz w:val="22"/>
          <w:szCs w:val="22"/>
        </w:rPr>
        <w:t xml:space="preserve">ως </w:t>
      </w:r>
      <w:r w:rsidR="003528CC">
        <w:rPr>
          <w:rFonts w:asciiTheme="minorHAnsi" w:hAnsiTheme="minorHAnsi" w:cstheme="minorHAnsi"/>
          <w:bCs/>
          <w:sz w:val="22"/>
          <w:szCs w:val="22"/>
        </w:rPr>
        <w:t>εκπρόσωπο</w:t>
      </w:r>
      <w:r w:rsidR="003528CC" w:rsidRPr="00A07B52">
        <w:rPr>
          <w:rFonts w:asciiTheme="minorHAnsi" w:hAnsiTheme="minorHAnsi" w:cstheme="minorHAnsi"/>
          <w:bCs/>
          <w:sz w:val="22"/>
          <w:szCs w:val="22"/>
        </w:rPr>
        <w:t xml:space="preserve">  του Δήμου </w:t>
      </w:r>
      <w:proofErr w:type="spellStart"/>
      <w:r w:rsidR="003528CC" w:rsidRPr="00A07B5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="003528CC" w:rsidRPr="00A07B52">
        <w:rPr>
          <w:rFonts w:asciiTheme="minorHAnsi" w:hAnsiTheme="minorHAnsi" w:cstheme="minorHAnsi"/>
          <w:bCs/>
          <w:sz w:val="22"/>
          <w:szCs w:val="22"/>
        </w:rPr>
        <w:t xml:space="preserve"> που </w:t>
      </w:r>
      <w:r w:rsidR="003528CC" w:rsidRPr="00A07B52">
        <w:rPr>
          <w:rFonts w:asciiTheme="minorHAnsi" w:hAnsiTheme="minorHAnsi" w:cstheme="minorHAnsi"/>
          <w:sz w:val="22"/>
          <w:szCs w:val="22"/>
        </w:rPr>
        <w:t xml:space="preserve">με την υπογραφή του </w:t>
      </w:r>
      <w:r w:rsidR="003528CC">
        <w:rPr>
          <w:rFonts w:asciiTheme="minorHAnsi" w:hAnsiTheme="minorHAnsi" w:cstheme="minorHAnsi"/>
          <w:sz w:val="22"/>
          <w:szCs w:val="22"/>
        </w:rPr>
        <w:t>θ</w:t>
      </w:r>
      <w:r w:rsidR="003528CC" w:rsidRPr="00A07B52">
        <w:rPr>
          <w:rFonts w:asciiTheme="minorHAnsi" w:hAnsiTheme="minorHAnsi" w:cstheme="minorHAnsi"/>
          <w:sz w:val="22"/>
          <w:szCs w:val="22"/>
        </w:rPr>
        <w:t xml:space="preserve">α δεσμεύσει τον Δήμο  στην Τράπεζα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  <w:lang w:val="en-US"/>
        </w:rPr>
        <w:t>Eurobank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, για την ολοκλήρωση της διαδικασίας μεταφοράς των ταμειακών υπολοίπων των τραπεζικών λογαριασμών της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</w:rPr>
        <w:t>λυθείσας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 Κοινωφελούς Επιχείρησης του Δήμου </w:t>
      </w:r>
      <w:proofErr w:type="spellStart"/>
      <w:r w:rsidR="003528CC" w:rsidRPr="00A07B5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3528CC" w:rsidRPr="00A07B52">
        <w:rPr>
          <w:rFonts w:asciiTheme="minorHAnsi" w:hAnsiTheme="minorHAnsi" w:cstheme="minorHAnsi"/>
          <w:sz w:val="22"/>
          <w:szCs w:val="22"/>
        </w:rPr>
        <w:t xml:space="preserve"> (Κ.Ε.ΔΗ.Λ.), σε λογαριασμό του Δήμου και κλεισίματος των λογαριασμών αυτών</w:t>
      </w:r>
      <w:r w:rsidR="003528CC" w:rsidRPr="009F7F3C">
        <w:rPr>
          <w:rFonts w:asciiTheme="minorHAnsi" w:hAnsiTheme="minorHAnsi" w:cstheme="minorHAnsi"/>
          <w:iCs/>
          <w:sz w:val="22"/>
          <w:szCs w:val="22"/>
        </w:rPr>
        <w:t>.</w:t>
      </w:r>
    </w:p>
    <w:p w:rsidR="009D0203" w:rsidRPr="001423BD" w:rsidRDefault="003528CC" w:rsidP="00DE624B">
      <w:pPr>
        <w:pStyle w:val="Default"/>
        <w:spacing w:line="36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AF4104" w:rsidRPr="001423BD" w:rsidRDefault="00AF4104" w:rsidP="00DE624B">
      <w:pPr>
        <w:widowControl w:val="0"/>
        <w:tabs>
          <w:tab w:val="center" w:pos="8460"/>
        </w:tabs>
        <w:spacing w:line="36" w:lineRule="atLeast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B667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3528C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</w:p>
    <w:p w:rsidR="00AF4104" w:rsidRPr="001423BD" w:rsidRDefault="00AF4104" w:rsidP="00DE624B">
      <w:pPr>
        <w:tabs>
          <w:tab w:val="center" w:pos="8460"/>
        </w:tabs>
        <w:spacing w:after="198" w:line="36" w:lineRule="atLeast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1423BD" w:rsidRDefault="00AF4104" w:rsidP="00DE624B">
      <w:pPr>
        <w:tabs>
          <w:tab w:val="center" w:pos="8460"/>
        </w:tabs>
        <w:spacing w:after="198" w:line="36" w:lineRule="atLeast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1423BD" w:rsidRDefault="00B25CD9" w:rsidP="00DE624B">
      <w:pPr>
        <w:widowControl w:val="0"/>
        <w:tabs>
          <w:tab w:val="center" w:pos="1080"/>
          <w:tab w:val="center" w:pos="8460"/>
        </w:tabs>
        <w:spacing w:before="119" w:after="119" w:line="36" w:lineRule="atLeast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1423BD" w:rsidRDefault="00C66381" w:rsidP="00DE624B">
      <w:pPr>
        <w:widowControl w:val="0"/>
        <w:tabs>
          <w:tab w:val="center" w:pos="1080"/>
          <w:tab w:val="center" w:pos="8460"/>
        </w:tabs>
        <w:spacing w:before="119" w:after="119" w:line="36" w:lineRule="atLeast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1423BD" w:rsidRDefault="00AF4104" w:rsidP="00DE624B">
      <w:pPr>
        <w:widowControl w:val="0"/>
        <w:tabs>
          <w:tab w:val="center" w:pos="1080"/>
          <w:tab w:val="center" w:pos="8460"/>
        </w:tabs>
        <w:spacing w:before="119" w:after="119" w:line="36" w:lineRule="atLeast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090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54090" w:rsidRPr="001423BD" w:rsidRDefault="00254090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54090" w:rsidRPr="001423BD" w:rsidRDefault="00254090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254090" w:rsidRPr="001423BD" w:rsidRDefault="00254090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54090" w:rsidRPr="001423BD" w:rsidRDefault="00254090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numPr>
                <w:ilvl w:val="0"/>
                <w:numId w:val="3"/>
              </w:numPr>
              <w:snapToGrid w:val="0"/>
              <w:spacing w:line="36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E624B">
            <w:pPr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E624B">
            <w:pPr>
              <w:pStyle w:val="af4"/>
              <w:snapToGrid w:val="0"/>
              <w:spacing w:line="36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E624B">
            <w:pPr>
              <w:snapToGrid w:val="0"/>
              <w:spacing w:line="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1423BD" w:rsidRDefault="007E10D1" w:rsidP="00DE624B">
      <w:pPr>
        <w:spacing w:line="36" w:lineRule="atLeast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1423BD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5F" w:rsidRDefault="00D7115F">
      <w:r>
        <w:separator/>
      </w:r>
    </w:p>
  </w:endnote>
  <w:endnote w:type="continuationSeparator" w:id="0">
    <w:p w:rsidR="00D7115F" w:rsidRDefault="00D7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7B667A">
    <w:pPr>
      <w:pStyle w:val="a3"/>
      <w:jc w:val="center"/>
    </w:pPr>
    <w:r>
      <w:t>6</w:t>
    </w:r>
    <w:r w:rsidR="003528CC">
      <w:t>9</w:t>
    </w:r>
    <w:r w:rsidR="0098716A" w:rsidRPr="00BA2DC1">
      <w:t xml:space="preserve">/2024 ΑΠΟΦΑΣΗ ΔΗΜΟΤΙΚΟΥ ΣΥΜΒΟΥΛΙΟΥ ΔΗΜΟΥ ΛΕΒΑΔΕΩΝ   </w:t>
    </w:r>
    <w:r w:rsidR="000E7493" w:rsidRPr="00BA2DC1">
      <w:fldChar w:fldCharType="begin"/>
    </w:r>
    <w:r w:rsidR="005E39CB" w:rsidRPr="00BA2DC1">
      <w:instrText xml:space="preserve"> PAGE   \* MERGEFORMAT </w:instrText>
    </w:r>
    <w:r w:rsidR="000E7493" w:rsidRPr="00BA2DC1">
      <w:fldChar w:fldCharType="separate"/>
    </w:r>
    <w:r w:rsidR="007F12CE">
      <w:rPr>
        <w:noProof/>
      </w:rPr>
      <w:t>1</w:t>
    </w:r>
    <w:r w:rsidR="000E7493" w:rsidRPr="00BA2DC1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5F" w:rsidRDefault="00D7115F">
      <w:r>
        <w:separator/>
      </w:r>
    </w:p>
  </w:footnote>
  <w:footnote w:type="continuationSeparator" w:id="0">
    <w:p w:rsidR="00D7115F" w:rsidRDefault="00D7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471125E"/>
    <w:multiLevelType w:val="hybridMultilevel"/>
    <w:tmpl w:val="CECCF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E5262"/>
    <w:multiLevelType w:val="hybridMultilevel"/>
    <w:tmpl w:val="72023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E2A43"/>
    <w:multiLevelType w:val="multilevel"/>
    <w:tmpl w:val="FA2A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"/>
  </w:num>
  <w:num w:numId="5">
    <w:abstractNumId w:val="24"/>
  </w:num>
  <w:num w:numId="6">
    <w:abstractNumId w:val="29"/>
  </w:num>
  <w:num w:numId="7">
    <w:abstractNumId w:val="28"/>
  </w:num>
  <w:num w:numId="8">
    <w:abstractNumId w:val="30"/>
  </w:num>
  <w:num w:numId="9">
    <w:abstractNumId w:val="23"/>
  </w:num>
  <w:num w:numId="10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93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577E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3BD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0FB2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5E9C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28CC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31B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82DDF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A6E27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862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2885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1EB1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3BB1"/>
    <w:rsid w:val="007B44BA"/>
    <w:rsid w:val="007B47AE"/>
    <w:rsid w:val="007B644A"/>
    <w:rsid w:val="007B6619"/>
    <w:rsid w:val="007B6641"/>
    <w:rsid w:val="007B667A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2CE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9F7F3C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270FA"/>
    <w:rsid w:val="00A302AB"/>
    <w:rsid w:val="00A302AE"/>
    <w:rsid w:val="00A31CD4"/>
    <w:rsid w:val="00A31F1E"/>
    <w:rsid w:val="00A32348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2DC1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62A5"/>
    <w:rsid w:val="00C312C7"/>
    <w:rsid w:val="00C313F9"/>
    <w:rsid w:val="00C31CCA"/>
    <w:rsid w:val="00C32218"/>
    <w:rsid w:val="00C32C4F"/>
    <w:rsid w:val="00C33A4F"/>
    <w:rsid w:val="00C33C3B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0ED2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15F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0D8D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24B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8B7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5101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uiPriority w:val="3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8F00FC-BF2C-4353-ADB3-BC2AE19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2024-03-29T11:17:00Z</cp:lastPrinted>
  <dcterms:created xsi:type="dcterms:W3CDTF">2024-03-29T08:15:00Z</dcterms:created>
  <dcterms:modified xsi:type="dcterms:W3CDTF">2024-03-29T11:23:00Z</dcterms:modified>
</cp:coreProperties>
</file>