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874FD1">
        <w:rPr>
          <w:rFonts w:asciiTheme="minorHAnsi" w:hAnsiTheme="minorHAnsi" w:cstheme="minorHAnsi"/>
          <w:b/>
          <w:sz w:val="22"/>
          <w:szCs w:val="22"/>
        </w:rPr>
        <w:t>ΚΑΤΑΧΩΡΗΣΤΕΑ ΣΤΟ ΚΗΜΔΗΣ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B60C8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3533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AE4985" w:rsidRPr="00AE498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="00AE4985">
        <w:rPr>
          <w:rFonts w:asciiTheme="minorHAnsi" w:eastAsia="Arial" w:hAnsiTheme="minorHAnsi" w:cstheme="minorHAnsi"/>
          <w:b/>
          <w:bCs/>
          <w:position w:val="2"/>
          <w:sz w:val="22"/>
          <w:szCs w:val="22"/>
          <w:lang w:val="en-US"/>
        </w:rPr>
        <w:t>6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584297"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84297">
        <w:rPr>
          <w:rFonts w:asciiTheme="minorHAnsi" w:hAnsiTheme="minorHAnsi" w:cstheme="minorHAnsi"/>
          <w:b/>
          <w:sz w:val="22"/>
          <w:szCs w:val="22"/>
          <w:u w:val="single"/>
        </w:rPr>
        <w:t>53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74FD1" w:rsidRPr="006E5C87" w:rsidRDefault="00AF4104" w:rsidP="00874FD1">
      <w:pPr>
        <w:pStyle w:val="af7"/>
        <w:ind w:left="185"/>
        <w:jc w:val="both"/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eastAsia="el-GR" w:bidi="hi-IN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74FD1" w:rsidRPr="00874FD1">
        <w:rPr>
          <w:rFonts w:cs="Calibri"/>
          <w:b/>
        </w:rPr>
        <w:t>Έγκριση παράτασης του έργου «ΠΑΡΚΟ ΑΘΛΗΣΗΣ ΔΗΜΟΥ ΛΕΒΑΔΕΩΝ-ΠΡΟΠΟΝΗΤΙΚΟ ΚΕΝΤΡΟ(ΓΥΜΝΑΣΤΗΡΙΟ)»</w:t>
      </w:r>
    </w:p>
    <w:p w:rsidR="00CA6E68" w:rsidRPr="00CA6E68" w:rsidRDefault="00CA6E68" w:rsidP="00CA6E68">
      <w:pPr>
        <w:pStyle w:val="af7"/>
        <w:ind w:left="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E4985" w:rsidRPr="00DC0874" w:rsidRDefault="00AE4985" w:rsidP="00AE4985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E4985" w:rsidRPr="004E64CA" w:rsidRDefault="00AE4985" w:rsidP="00AE4985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21 δημοτικοί σύμβουλοι  :</w:t>
      </w:r>
    </w:p>
    <w:p w:rsidR="00AE4985" w:rsidRPr="004E64CA" w:rsidRDefault="00AE4985" w:rsidP="00AE4985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E4985" w:rsidRPr="004E64CA" w:rsidRDefault="00AE4985" w:rsidP="00AE4985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E4985" w:rsidRPr="004E64CA" w:rsidTr="00CA043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ΝΟΣ  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4E64CA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4E64CA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AE4985" w:rsidRPr="004E64CA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4E64CA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E4985" w:rsidRPr="004E64CA" w:rsidRDefault="00AE4985" w:rsidP="00CA0437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4985" w:rsidRPr="00DC0874" w:rsidRDefault="00AE4985" w:rsidP="00AE4985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AE4985" w:rsidRPr="00DC0874" w:rsidRDefault="00AE4985" w:rsidP="00AE4985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E4985" w:rsidRPr="00DC0874" w:rsidRDefault="00AE4985" w:rsidP="00AE4985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BA3D1F" w:rsidRDefault="00AE4985" w:rsidP="00AE4985">
      <w:pPr>
        <w:shd w:val="clear" w:color="auto" w:fill="FFFFFF"/>
        <w:spacing w:before="120" w:after="120" w:line="360" w:lineRule="auto"/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(18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 η </w:t>
      </w:r>
      <w:r w:rsidR="00BA3D1F"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DC08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C08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CA6E6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1</w:t>
      </w:r>
      <w:r w:rsidR="00874FD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397</w:t>
      </w:r>
      <w:r w:rsidR="00CA6E6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/2</w:t>
      </w:r>
      <w:r w:rsidR="00874FD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CA6E6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-1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-202</w:t>
      </w:r>
      <w:r w:rsidR="00A90B2D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ED033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384983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CA6E68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Τεχνικών</w:t>
      </w:r>
      <w:r w:rsidR="00334986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Υπηρεσιών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του Δήμου σύμφωνα με την οποία:</w:t>
      </w:r>
    </w:p>
    <w:p w:rsidR="00874FD1" w:rsidRPr="00132A2F" w:rsidRDefault="00874FD1" w:rsidP="00874FD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2A2F">
        <w:rPr>
          <w:rFonts w:asciiTheme="minorHAnsi" w:hAnsiTheme="minorHAnsi" w:cstheme="minorHAnsi"/>
          <w:b/>
          <w:bCs/>
          <w:sz w:val="22"/>
          <w:szCs w:val="22"/>
        </w:rPr>
        <w:t xml:space="preserve">Α. </w:t>
      </w:r>
      <w:r w:rsidRPr="00132A2F">
        <w:rPr>
          <w:rFonts w:asciiTheme="minorHAnsi" w:hAnsiTheme="minorHAnsi" w:cstheme="minorHAnsi"/>
          <w:b/>
          <w:bCs/>
          <w:sz w:val="22"/>
          <w:szCs w:val="22"/>
          <w:u w:val="single"/>
        </w:rPr>
        <w:t>ΙΣΤΟΡΙΚΟ ΤΟΥ ΕΡΓΟΥ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>Το εν λόγω έργο χρηματοδοτείται από πιστώσεις του Προγράμματος Δημοσίων Επενδύσεων της ΣΑΕΠ 766 με ΚΑ 201</w:t>
      </w:r>
      <w:r>
        <w:rPr>
          <w:rFonts w:asciiTheme="minorHAnsi" w:hAnsiTheme="minorHAnsi" w:cstheme="minorHAnsi"/>
          <w:i/>
          <w:sz w:val="22"/>
          <w:szCs w:val="22"/>
        </w:rPr>
        <w:t>7ΕΠ76600018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του ΠΔΕ της Περιφέρειας Στερεάς Ελλάδας.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 xml:space="preserve">Η αρ. </w:t>
      </w:r>
      <w:r>
        <w:rPr>
          <w:rFonts w:asciiTheme="minorHAnsi" w:hAnsiTheme="minorHAnsi" w:cstheme="minorHAnsi"/>
          <w:i/>
          <w:sz w:val="22"/>
          <w:szCs w:val="22"/>
        </w:rPr>
        <w:t>67</w:t>
      </w:r>
      <w:r w:rsidRPr="00132A2F">
        <w:rPr>
          <w:rFonts w:asciiTheme="minorHAnsi" w:hAnsiTheme="minorHAnsi" w:cstheme="minorHAnsi"/>
          <w:i/>
          <w:sz w:val="22"/>
          <w:szCs w:val="22"/>
        </w:rPr>
        <w:t>/1</w:t>
      </w:r>
      <w:r>
        <w:rPr>
          <w:rFonts w:asciiTheme="minorHAnsi" w:hAnsiTheme="minorHAnsi" w:cstheme="minorHAnsi"/>
          <w:i/>
          <w:sz w:val="22"/>
          <w:szCs w:val="22"/>
        </w:rPr>
        <w:t>8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Τεχνική Μελέτη δημοπράτησης του εν λόγω έργου προϋπολογισμού  </w:t>
      </w:r>
      <w:r>
        <w:rPr>
          <w:rFonts w:asciiTheme="minorHAnsi" w:hAnsiTheme="minorHAnsi" w:cstheme="minorHAnsi"/>
          <w:i/>
          <w:sz w:val="22"/>
          <w:szCs w:val="22"/>
        </w:rPr>
        <w:t>2.427.243</w:t>
      </w:r>
      <w:r w:rsidRPr="00132A2F"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>51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€ (με Φ.Π.Α 24%)  συντάχθηκε από την Τεχνική Υπηρεσία του Δήμου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>.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>Με την αρ.</w:t>
      </w:r>
      <w:r>
        <w:rPr>
          <w:rFonts w:asciiTheme="minorHAnsi" w:hAnsiTheme="minorHAnsi" w:cstheme="minorHAnsi"/>
          <w:i/>
          <w:sz w:val="22"/>
          <w:szCs w:val="22"/>
        </w:rPr>
        <w:t>221</w:t>
      </w:r>
      <w:r w:rsidRPr="00132A2F">
        <w:rPr>
          <w:rFonts w:asciiTheme="minorHAnsi" w:hAnsiTheme="minorHAnsi" w:cstheme="minorHAnsi"/>
          <w:i/>
          <w:sz w:val="22"/>
          <w:szCs w:val="22"/>
        </w:rPr>
        <w:t>/201</w:t>
      </w:r>
      <w:r>
        <w:rPr>
          <w:rFonts w:asciiTheme="minorHAnsi" w:hAnsiTheme="minorHAnsi" w:cstheme="minorHAnsi"/>
          <w:i/>
          <w:sz w:val="22"/>
          <w:szCs w:val="22"/>
        </w:rPr>
        <w:t>9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  απόφαση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Οικον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 xml:space="preserve"> επιτροπής   του Δήμου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 xml:space="preserve"> περί έγκρισης διενέργειας ηλεκτρονικού διαγωνισμού </w:t>
      </w:r>
      <w:r>
        <w:rPr>
          <w:rFonts w:asciiTheme="minorHAnsi" w:hAnsiTheme="minorHAnsi" w:cstheme="minorHAnsi"/>
          <w:i/>
          <w:sz w:val="22"/>
          <w:szCs w:val="22"/>
        </w:rPr>
        <w:t>και κατάρτιση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 των όρων διακήρυξης δημοπρατήθηκε το έργο. 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 xml:space="preserve">Την με αριθμό </w:t>
      </w:r>
      <w:r>
        <w:rPr>
          <w:rFonts w:asciiTheme="minorHAnsi" w:hAnsiTheme="minorHAnsi" w:cstheme="minorHAnsi"/>
          <w:i/>
          <w:sz w:val="22"/>
          <w:szCs w:val="22"/>
        </w:rPr>
        <w:t>41</w:t>
      </w:r>
      <w:r w:rsidRPr="00132A2F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20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απόφαση της Οικονομικής Επιτροπής του Δήμου με την οποία εγκρίθηκε το πρακτικό 1 της ηλεκτρονικής δημοπρασίας </w:t>
      </w:r>
      <w:r>
        <w:rPr>
          <w:rFonts w:asciiTheme="minorHAnsi" w:hAnsiTheme="minorHAnsi" w:cstheme="minorHAnsi"/>
          <w:i/>
          <w:sz w:val="22"/>
          <w:szCs w:val="22"/>
        </w:rPr>
        <w:t>με αα ΕΣΗΔΗΣ 86930 του έργου</w:t>
      </w:r>
      <w:r w:rsidRPr="00132A2F">
        <w:rPr>
          <w:rFonts w:asciiTheme="minorHAnsi" w:hAnsiTheme="minorHAnsi" w:cstheme="minorHAnsi"/>
          <w:i/>
          <w:sz w:val="22"/>
          <w:szCs w:val="22"/>
        </w:rPr>
        <w:t>.</w:t>
      </w:r>
    </w:p>
    <w:p w:rsidR="00874FD1" w:rsidRPr="006D1D42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 xml:space="preserve">Με την αρ. </w:t>
      </w:r>
      <w:r>
        <w:rPr>
          <w:rFonts w:asciiTheme="minorHAnsi" w:hAnsiTheme="minorHAnsi" w:cstheme="minorHAnsi"/>
          <w:i/>
          <w:sz w:val="22"/>
          <w:szCs w:val="22"/>
        </w:rPr>
        <w:t>133</w:t>
      </w:r>
      <w:r w:rsidRPr="00132A2F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20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 xml:space="preserve"> , εγκρίθηκε το  Πρακτικό ΙΙ  του έργου </w:t>
      </w:r>
      <w:r>
        <w:rPr>
          <w:rFonts w:asciiTheme="minorHAnsi" w:hAnsiTheme="minorHAnsi" w:cstheme="minorHAnsi"/>
          <w:i/>
          <w:sz w:val="22"/>
          <w:szCs w:val="22"/>
        </w:rPr>
        <w:t xml:space="preserve">σύμφωνα με το οποίο έγινε εκ νέου ανακήρυξη προσωρινού αναδόχου στην εταιρεία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VASARTIS</w:t>
      </w:r>
      <w:r w:rsidRPr="006D1D4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Pr="006D1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6D1D42">
        <w:rPr>
          <w:rFonts w:asciiTheme="minorHAnsi" w:hAnsiTheme="minorHAnsi" w:cstheme="minorHAnsi"/>
          <w:i/>
          <w:sz w:val="22"/>
          <w:szCs w:val="22"/>
        </w:rPr>
        <w:t>.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 xml:space="preserve"> Με την αρ. </w:t>
      </w:r>
      <w:r w:rsidRPr="006D1D42">
        <w:rPr>
          <w:rFonts w:asciiTheme="minorHAnsi" w:hAnsiTheme="minorHAnsi" w:cstheme="minorHAnsi"/>
          <w:i/>
          <w:sz w:val="22"/>
          <w:szCs w:val="22"/>
        </w:rPr>
        <w:t>288</w:t>
      </w:r>
      <w:r w:rsidRPr="00132A2F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20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(ΑΔΑ </w:t>
      </w:r>
      <w:r>
        <w:rPr>
          <w:rFonts w:asciiTheme="minorHAnsi" w:hAnsiTheme="minorHAnsi" w:cstheme="minorHAnsi"/>
          <w:i/>
          <w:sz w:val="22"/>
          <w:szCs w:val="22"/>
        </w:rPr>
        <w:t>Ω1ΒΥΩΛΗ-Λ2Μ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) απόφαση της Οικονομικής Επιτροπής του Δήμου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 xml:space="preserve"> , </w:t>
      </w:r>
      <w:r>
        <w:rPr>
          <w:rFonts w:asciiTheme="minorHAnsi" w:hAnsiTheme="minorHAnsi" w:cstheme="minorHAnsi"/>
          <w:i/>
          <w:sz w:val="22"/>
          <w:szCs w:val="22"/>
        </w:rPr>
        <w:t xml:space="preserve">έγινε κατακύρωση στην εταιρεία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VASARTIS</w:t>
      </w:r>
      <w:r w:rsidRPr="006D1D42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Pr="006D1D42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6D1D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του έργου </w:t>
      </w:r>
      <w:r>
        <w:rPr>
          <w:rFonts w:asciiTheme="minorHAnsi" w:hAnsiTheme="minorHAnsi" w:cstheme="minorHAnsi"/>
          <w:i/>
          <w:sz w:val="22"/>
          <w:szCs w:val="22"/>
        </w:rPr>
        <w:t xml:space="preserve">και ελέγχθηκε ως προς </w:t>
      </w: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τη νομιμότητα με το υπ’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220620/23-11-20 έγγραφο της Αποκεντρωμένης Διοίκησης Θεσσαλίας Στερεάς Ελλάδας</w:t>
      </w:r>
      <w:r w:rsidRPr="006D1D42">
        <w:rPr>
          <w:rFonts w:asciiTheme="minorHAnsi" w:hAnsiTheme="minorHAnsi" w:cstheme="minorHAnsi"/>
          <w:i/>
          <w:sz w:val="22"/>
          <w:szCs w:val="22"/>
        </w:rPr>
        <w:t>.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74FD1" w:rsidRPr="00132A2F" w:rsidRDefault="00874FD1" w:rsidP="00874FD1">
      <w:pPr>
        <w:numPr>
          <w:ilvl w:val="0"/>
          <w:numId w:val="40"/>
        </w:numPr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>Στις 19/</w:t>
      </w:r>
      <w:r>
        <w:rPr>
          <w:rFonts w:asciiTheme="minorHAnsi" w:hAnsiTheme="minorHAnsi" w:cstheme="minorHAnsi"/>
          <w:i/>
          <w:sz w:val="22"/>
          <w:szCs w:val="22"/>
        </w:rPr>
        <w:t>0</w:t>
      </w:r>
      <w:r w:rsidRPr="00132A2F">
        <w:rPr>
          <w:rFonts w:asciiTheme="minorHAnsi" w:hAnsiTheme="minorHAnsi" w:cstheme="minorHAnsi"/>
          <w:i/>
          <w:sz w:val="22"/>
          <w:szCs w:val="22"/>
        </w:rPr>
        <w:t>2/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222F94">
        <w:rPr>
          <w:rFonts w:asciiTheme="minorHAnsi" w:hAnsiTheme="minorHAnsi" w:cstheme="minorHAnsi"/>
          <w:i/>
          <w:sz w:val="22"/>
          <w:szCs w:val="22"/>
        </w:rPr>
        <w:t>1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υπογράφηκε η σύμβαση   για την κατασκευή του  έργου “ </w:t>
      </w:r>
      <w:r>
        <w:rPr>
          <w:rFonts w:asciiTheme="minorHAnsi" w:hAnsiTheme="minorHAnsi" w:cstheme="minorHAnsi"/>
          <w:i/>
          <w:sz w:val="22"/>
          <w:szCs w:val="22"/>
        </w:rPr>
        <w:t>ΠΑΡΚΟ ΑΘΛΗΣΗΣ ΔΗΜΟΥ ΛΕΒΑΔΕΩΝ- ΠΡΟΠΟΝΗΤΙΚΟ ΚΕΝΤΡΟ (ΓΥΜΝΑΣΤΗΡΙΟ)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” για ποσό  </w:t>
      </w:r>
      <w:r>
        <w:rPr>
          <w:rFonts w:asciiTheme="minorHAnsi" w:hAnsiTheme="minorHAnsi" w:cstheme="minorHAnsi"/>
          <w:i/>
          <w:sz w:val="22"/>
          <w:szCs w:val="22"/>
        </w:rPr>
        <w:t>1.308</w:t>
      </w:r>
      <w:r w:rsidRPr="00132A2F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147,44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€  με ΦΠΑ , μεταξύ του  Δημάρχου </w:t>
      </w:r>
      <w:proofErr w:type="spellStart"/>
      <w:r w:rsidRPr="00132A2F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132A2F">
        <w:rPr>
          <w:rFonts w:asciiTheme="minorHAnsi" w:hAnsiTheme="minorHAnsi" w:cstheme="minorHAnsi"/>
          <w:i/>
          <w:sz w:val="22"/>
          <w:szCs w:val="22"/>
        </w:rPr>
        <w:t xml:space="preserve">    και της  αναδόχου </w:t>
      </w:r>
      <w:r>
        <w:rPr>
          <w:rFonts w:asciiTheme="minorHAnsi" w:hAnsiTheme="minorHAnsi" w:cstheme="minorHAnsi"/>
          <w:i/>
          <w:sz w:val="22"/>
          <w:szCs w:val="22"/>
        </w:rPr>
        <w:t>εταιρείας</w:t>
      </w:r>
      <w:r w:rsidRPr="00132A2F">
        <w:rPr>
          <w:rFonts w:asciiTheme="minorHAnsi" w:hAnsiTheme="minorHAnsi" w:cstheme="minorHAnsi"/>
          <w:i/>
          <w:sz w:val="22"/>
          <w:szCs w:val="22"/>
        </w:rPr>
        <w:t xml:space="preserve">  ποσό το οποίο αναλύεται </w:t>
      </w:r>
    </w:p>
    <w:tbl>
      <w:tblPr>
        <w:tblW w:w="39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</w:tblCellMar>
        <w:tblLook w:val="04A0"/>
      </w:tblPr>
      <w:tblGrid>
        <w:gridCol w:w="2553"/>
        <w:gridCol w:w="1416"/>
      </w:tblGrid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Δαπάνη εργασιών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771.351,76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ΓΕ &amp; ΟΕ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138.843,32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Μερικό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910.195,08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Απρόβλεπτα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136.529,26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Απολογιστικές Εργασίες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3.000,00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Αναθεώρηση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5.233,27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Δαπάνη ΦΠΑ             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874FD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263.189,83                              </w:t>
            </w:r>
          </w:p>
        </w:tc>
      </w:tr>
      <w:tr w:rsidR="00874FD1" w:rsidRPr="00132A2F" w:rsidTr="000B7E9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74FD1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Γενικό σύνολο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FD1" w:rsidRPr="00874FD1" w:rsidRDefault="00874FD1" w:rsidP="00874FD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874FD1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u w:val="single"/>
              </w:rPr>
              <w:t>1.308.147,44</w:t>
            </w:r>
          </w:p>
        </w:tc>
      </w:tr>
    </w:tbl>
    <w:p w:rsidR="00874FD1" w:rsidRPr="006800C6" w:rsidRDefault="00874FD1" w:rsidP="00874FD1">
      <w:pPr>
        <w:numPr>
          <w:ilvl w:val="0"/>
          <w:numId w:val="40"/>
        </w:numPr>
        <w:suppressAutoHyphens/>
        <w:rPr>
          <w:rFonts w:asciiTheme="minorHAnsi" w:eastAsia="Calibri" w:hAnsiTheme="minorHAnsi" w:cstheme="minorHAnsi"/>
          <w:i/>
          <w:sz w:val="22"/>
          <w:szCs w:val="22"/>
        </w:rPr>
      </w:pPr>
      <w:r w:rsidRPr="00132A2F">
        <w:rPr>
          <w:rFonts w:asciiTheme="minorHAnsi" w:hAnsiTheme="minorHAnsi" w:cstheme="minorHAnsi"/>
          <w:i/>
          <w:sz w:val="22"/>
          <w:szCs w:val="22"/>
        </w:rPr>
        <w:t>Η προθεσμία κατασκευής του έργου, σύμφωνα την Ε.Σ.Υ. και την υπογραφείσα σύμβαση, είναι 10 μήνες από την ημερομηνία υπογραφής της σύμβασης &amp; ο χρόνος συντήρησης ανέρχεται στο διάστημα των 15 μηνών από την βεβαιωμένη περαίωση των εργασιών του έργου.</w:t>
      </w:r>
    </w:p>
    <w:p w:rsidR="00874FD1" w:rsidRPr="00BA4038" w:rsidRDefault="00874FD1" w:rsidP="00874FD1">
      <w:pPr>
        <w:numPr>
          <w:ilvl w:val="0"/>
          <w:numId w:val="40"/>
        </w:numPr>
        <w:suppressAutoHyphens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Με την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80/2022 απόφαση Ο.Ε. έγινε έγκριση του 1</w:t>
      </w:r>
      <w:r w:rsidRPr="006800C6">
        <w:rPr>
          <w:rFonts w:asciiTheme="minorHAnsi" w:hAnsiTheme="minorHAnsi" w:cstheme="minorHAnsi"/>
          <w:i/>
          <w:sz w:val="22"/>
          <w:szCs w:val="22"/>
          <w:vertAlign w:val="superscript"/>
        </w:rPr>
        <w:t>ου</w:t>
      </w:r>
      <w:r>
        <w:rPr>
          <w:rFonts w:asciiTheme="minorHAnsi" w:hAnsiTheme="minorHAnsi" w:cstheme="minorHAnsi"/>
          <w:i/>
          <w:sz w:val="22"/>
          <w:szCs w:val="22"/>
        </w:rPr>
        <w:t xml:space="preserve"> ΑΠΕ και 1</w:t>
      </w:r>
      <w:r w:rsidRPr="006800C6">
        <w:rPr>
          <w:rFonts w:asciiTheme="minorHAnsi" w:hAnsiTheme="minorHAnsi" w:cstheme="minorHAnsi"/>
          <w:i/>
          <w:sz w:val="22"/>
          <w:szCs w:val="22"/>
          <w:vertAlign w:val="superscript"/>
        </w:rPr>
        <w:t>ου</w:t>
      </w:r>
      <w:r>
        <w:rPr>
          <w:rFonts w:asciiTheme="minorHAnsi" w:hAnsiTheme="minorHAnsi" w:cstheme="minorHAnsi"/>
          <w:i/>
          <w:sz w:val="22"/>
          <w:szCs w:val="22"/>
        </w:rPr>
        <w:t xml:space="preserve"> ΠΤΚΝΜΕ του έργου.</w:t>
      </w:r>
    </w:p>
    <w:p w:rsidR="00874FD1" w:rsidRPr="00C1599E" w:rsidRDefault="00874FD1" w:rsidP="00874FD1">
      <w:pPr>
        <w:numPr>
          <w:ilvl w:val="0"/>
          <w:numId w:val="40"/>
        </w:numPr>
        <w:suppressAutoHyphens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Με την υπ’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382/2022 απόφαση Ο.Ε. δόθηκε παράταση έως 30-6-2023.</w:t>
      </w:r>
    </w:p>
    <w:p w:rsidR="00874FD1" w:rsidRPr="000B4B69" w:rsidRDefault="00874FD1" w:rsidP="00874FD1">
      <w:pPr>
        <w:numPr>
          <w:ilvl w:val="0"/>
          <w:numId w:val="40"/>
        </w:numPr>
        <w:suppressAutoHyphens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Με την υπ’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131/2023 απόφαση Δ.Σ. δόθηκε παράταση έως 01-12-2023</w:t>
      </w:r>
    </w:p>
    <w:p w:rsidR="00874FD1" w:rsidRPr="0053060D" w:rsidRDefault="00874FD1" w:rsidP="00874FD1">
      <w:pPr>
        <w:rPr>
          <w:rFonts w:asciiTheme="minorHAnsi" w:eastAsia="Calibri" w:hAnsiTheme="minorHAnsi" w:cstheme="minorHAnsi"/>
          <w:i/>
          <w:sz w:val="22"/>
          <w:szCs w:val="22"/>
        </w:rPr>
      </w:pPr>
    </w:p>
    <w:p w:rsidR="00874FD1" w:rsidRPr="00132A2F" w:rsidRDefault="00874FD1" w:rsidP="00874FD1">
      <w:pPr>
        <w:pStyle w:val="a5"/>
        <w:rPr>
          <w:rFonts w:asciiTheme="minorHAnsi" w:hAnsiTheme="minorHAnsi" w:cstheme="minorHAnsi"/>
          <w:b/>
          <w:bCs/>
          <w:szCs w:val="22"/>
        </w:rPr>
      </w:pPr>
      <w:r w:rsidRPr="00132A2F">
        <w:rPr>
          <w:rFonts w:asciiTheme="minorHAnsi" w:eastAsia="Calibri" w:hAnsiTheme="minorHAnsi" w:cstheme="minorHAnsi"/>
          <w:i/>
          <w:szCs w:val="22"/>
        </w:rPr>
        <w:t xml:space="preserve">  </w:t>
      </w:r>
      <w:r w:rsidRPr="00132A2F">
        <w:rPr>
          <w:rFonts w:asciiTheme="minorHAnsi" w:hAnsiTheme="minorHAnsi" w:cstheme="minorHAnsi"/>
          <w:b/>
          <w:bCs/>
          <w:szCs w:val="22"/>
        </w:rPr>
        <w:t>Β.ΣΥΝΤΟΜΗ  ΠΕΡΙΓΡΑΦΗ  ΕΡΓΟΥ</w:t>
      </w:r>
    </w:p>
    <w:p w:rsidR="00874FD1" w:rsidRDefault="00874FD1" w:rsidP="00874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Αντικείμενο του έργου είναι η κατασκευή Προπονητικού Κέντρου (Γυμναστήριο) σε οικόπεδο ιδιοκτησίας Δήμου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επιφανείας 16.956,59μ2 στη θέση Ισώματα του Δήμου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εκτός σχεδίου πόλης. Πρόκειται για διώροφο κτήριο συνολικής επιφάνειας 886,67μ2 με κλειστό χώρο απόληξης κλιμακοστασίου και ηλεκτρομηχανολογικών εγκαταστάσεων στο δώμα. </w:t>
      </w:r>
    </w:p>
    <w:p w:rsidR="00874FD1" w:rsidRDefault="00874FD1" w:rsidP="00874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ισόγειο περιλαμβάνει αίθουσα εκγύμνασης (με ύψος δύο ορόφων), χώρο υποδοχής, γραφεία, αποδυτήρια, χώρους υγιεινής, </w:t>
      </w:r>
      <w:r>
        <w:rPr>
          <w:rFonts w:asciiTheme="minorHAnsi" w:hAnsiTheme="minorHAnsi" w:cstheme="minorHAnsi"/>
          <w:sz w:val="22"/>
          <w:szCs w:val="22"/>
          <w:lang w:val="en-US"/>
        </w:rPr>
        <w:t>WC</w:t>
      </w:r>
      <w:r>
        <w:rPr>
          <w:rFonts w:asciiTheme="minorHAnsi" w:hAnsiTheme="minorHAnsi" w:cstheme="minorHAnsi"/>
          <w:sz w:val="22"/>
          <w:szCs w:val="22"/>
        </w:rPr>
        <w:t xml:space="preserve"> για </w:t>
      </w:r>
      <w:proofErr w:type="spellStart"/>
      <w:r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και αναψυκτήριο με ανοιχτό </w:t>
      </w:r>
      <w:proofErr w:type="spellStart"/>
      <w:r>
        <w:rPr>
          <w:rFonts w:asciiTheme="minorHAnsi" w:hAnsiTheme="minorHAnsi" w:cstheme="minorHAnsi"/>
          <w:sz w:val="22"/>
          <w:szCs w:val="22"/>
        </w:rPr>
        <w:t>ημιυπαίθριο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χώρο. </w:t>
      </w:r>
    </w:p>
    <w:p w:rsidR="00874FD1" w:rsidRPr="0071087E" w:rsidRDefault="00874FD1" w:rsidP="00874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 όροφος περιλαμβάνει αίθουσα εκγύμνασης, γραφεία, αποδυτήρια και αναψυκτήριο με ανοιχτό εξώστη. Υπάρχει εσωτερικός πυρήνας κατακόρυφης επικοινωνίας και εξωτερικό κλιμακοστάσιο.</w:t>
      </w:r>
    </w:p>
    <w:p w:rsidR="00874FD1" w:rsidRPr="003E3E6B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κτήριο αποτελείται από φέροντα οργανισμό με μεταλλικές δοκούς και υποστυλώματα. Θα διαθέτει εγκατάσταση πυρασφάλειας, εγκαταστάσεις ύδρευσης –αποχέτευσης, ισχυρών και ασθενών ρευμάτων, θέρμανσης κλιματισμού και εξαερισμού.</w:t>
      </w:r>
    </w:p>
    <w:p w:rsidR="00874FD1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0E7DE5">
        <w:rPr>
          <w:rFonts w:asciiTheme="minorHAnsi" w:hAnsiTheme="minorHAnsi" w:cstheme="minorHAnsi"/>
          <w:b/>
          <w:sz w:val="22"/>
          <w:szCs w:val="22"/>
        </w:rPr>
        <w:t>Γ. ΛΟΓΟΙ ΠΟΥ ΕΠΙΒΑΛΟΥΝ ΤΗΝ ΠΑΡΑΤΑΣΗ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 το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>. 21293/01-11-2023 αίτημα της αναδόχου εταιρείας</w:t>
      </w:r>
      <w:r w:rsidRPr="00D97E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σύμφωνα με το οποίο αιτούνται την </w:t>
      </w:r>
      <w:r w:rsidRPr="00D97E0C">
        <w:rPr>
          <w:rFonts w:asciiTheme="minorHAnsi" w:hAnsiTheme="minorHAnsi" w:cstheme="minorHAnsi"/>
          <w:sz w:val="22"/>
          <w:szCs w:val="22"/>
        </w:rPr>
        <w:t xml:space="preserve">παράταση του χρόνου περαίωσης των εργασιών του έργου, κατά εκατόν </w:t>
      </w:r>
      <w:r>
        <w:rPr>
          <w:rFonts w:asciiTheme="minorHAnsi" w:hAnsiTheme="minorHAnsi" w:cstheme="minorHAnsi"/>
          <w:sz w:val="22"/>
          <w:szCs w:val="22"/>
        </w:rPr>
        <w:t>ογδόντα τέσσερις</w:t>
      </w:r>
      <w:r w:rsidRPr="00D97E0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184</w:t>
      </w:r>
      <w:r w:rsidRPr="00D97E0C">
        <w:rPr>
          <w:rFonts w:asciiTheme="minorHAnsi" w:hAnsiTheme="minorHAnsi" w:cstheme="minorHAnsi"/>
          <w:sz w:val="22"/>
          <w:szCs w:val="22"/>
        </w:rPr>
        <w:t xml:space="preserve">) ημερολογιακές ημέρες, δηλαδή από </w:t>
      </w:r>
      <w:r>
        <w:rPr>
          <w:rFonts w:asciiTheme="minorHAnsi" w:hAnsiTheme="minorHAnsi" w:cstheme="minorHAnsi"/>
          <w:sz w:val="22"/>
          <w:szCs w:val="22"/>
        </w:rPr>
        <w:t xml:space="preserve">01/12/2023 με βάση το τελικό </w:t>
      </w:r>
      <w:r w:rsidRPr="00D97E0C">
        <w:rPr>
          <w:rFonts w:asciiTheme="minorHAnsi" w:hAnsiTheme="minorHAnsi" w:cstheme="minorHAnsi"/>
          <w:sz w:val="22"/>
          <w:szCs w:val="22"/>
        </w:rPr>
        <w:t xml:space="preserve">χρονοδιάγραμμα, στις </w:t>
      </w:r>
      <w:r>
        <w:rPr>
          <w:rFonts w:asciiTheme="minorHAnsi" w:hAnsiTheme="minorHAnsi" w:cstheme="minorHAnsi"/>
          <w:sz w:val="22"/>
          <w:szCs w:val="22"/>
        </w:rPr>
        <w:t>02</w:t>
      </w:r>
      <w:r w:rsidRPr="00D97E0C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D97E0C">
        <w:rPr>
          <w:rFonts w:asciiTheme="minorHAnsi" w:hAnsiTheme="minorHAnsi" w:cstheme="minorHAnsi"/>
          <w:sz w:val="22"/>
          <w:szCs w:val="22"/>
        </w:rPr>
        <w:t>/2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97E0C">
        <w:rPr>
          <w:rFonts w:asciiTheme="minorHAnsi" w:hAnsiTheme="minorHAnsi" w:cstheme="minorHAnsi"/>
          <w:sz w:val="22"/>
          <w:szCs w:val="22"/>
        </w:rPr>
        <w:t xml:space="preserve"> και συγκεκριμένα όπως παρακάτω τεκμηριώνεται: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D97E0C">
        <w:rPr>
          <w:rFonts w:asciiTheme="minorHAnsi" w:hAnsiTheme="minorHAnsi" w:cstheme="minorHAnsi"/>
          <w:sz w:val="22"/>
          <w:szCs w:val="22"/>
          <w:u w:val="single"/>
        </w:rPr>
        <w:t xml:space="preserve">Καθυστέρηση των εργασιών λόγω δυσμενών καιρικών συνθηκών 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97E0C">
        <w:rPr>
          <w:rFonts w:asciiTheme="minorHAnsi" w:hAnsiTheme="minorHAnsi" w:cstheme="minorHAnsi"/>
          <w:sz w:val="22"/>
          <w:szCs w:val="22"/>
        </w:rPr>
        <w:t>Με βάση τα συνημμένα στοιχεία της ΕΜΥ, προκύπτουν οι παρακάτω καθυστερήσεις λόγω δυσμενών καιρικών συνθηκών τις χρονικές περιόδους πέραν των παραπάνω αναφερόμενων: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97E0C">
        <w:rPr>
          <w:rFonts w:asciiTheme="minorHAnsi" w:hAnsiTheme="minorHAnsi" w:cstheme="minorHAnsi"/>
          <w:sz w:val="22"/>
          <w:szCs w:val="22"/>
        </w:rPr>
        <w:t xml:space="preserve">Ημέρες </w:t>
      </w:r>
      <w:r>
        <w:rPr>
          <w:rFonts w:asciiTheme="minorHAnsi" w:hAnsiTheme="minorHAnsi" w:cstheme="minorHAnsi"/>
          <w:sz w:val="22"/>
          <w:szCs w:val="22"/>
        </w:rPr>
        <w:t>καύσωνα</w:t>
      </w:r>
      <w:r w:rsidRPr="00D97E0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4+28+17=49</w:t>
      </w:r>
      <w:r w:rsidRPr="00D97E0C">
        <w:rPr>
          <w:rFonts w:asciiTheme="minorHAnsi" w:hAnsiTheme="minorHAnsi" w:cstheme="minorHAnsi"/>
          <w:sz w:val="22"/>
          <w:szCs w:val="22"/>
        </w:rPr>
        <w:t xml:space="preserve"> ημερολογιακές ημέρες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97E0C">
        <w:rPr>
          <w:rFonts w:asciiTheme="minorHAnsi" w:hAnsiTheme="minorHAnsi" w:cstheme="minorHAnsi"/>
          <w:sz w:val="22"/>
          <w:szCs w:val="22"/>
        </w:rPr>
        <w:t xml:space="preserve">Ημέρες βροχοπτώσεων: </w:t>
      </w:r>
      <w:r>
        <w:rPr>
          <w:rFonts w:asciiTheme="minorHAnsi" w:hAnsiTheme="minorHAnsi" w:cstheme="minorHAnsi"/>
          <w:sz w:val="22"/>
          <w:szCs w:val="22"/>
        </w:rPr>
        <w:t>2+1+5+7</w:t>
      </w:r>
      <w:r w:rsidRPr="00D97E0C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D97E0C">
        <w:rPr>
          <w:rFonts w:asciiTheme="minorHAnsi" w:hAnsiTheme="minorHAnsi" w:cstheme="minorHAnsi"/>
          <w:sz w:val="22"/>
          <w:szCs w:val="22"/>
        </w:rPr>
        <w:t xml:space="preserve"> ημερολογιακές ημέρες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97E0C">
        <w:rPr>
          <w:rFonts w:asciiTheme="minorHAnsi" w:hAnsiTheme="minorHAnsi" w:cstheme="minorHAnsi"/>
          <w:sz w:val="22"/>
          <w:szCs w:val="22"/>
        </w:rPr>
        <w:t xml:space="preserve">            Συνολικός χρόνος καθυστέρησης λόγω δυσμενών καιρικών συνθηκών που καθιστούσαν αδύνατη οποιαδήποτε εργασία: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6085">
        <w:rPr>
          <w:rFonts w:asciiTheme="minorHAnsi" w:hAnsiTheme="minorHAnsi" w:cstheme="minorHAnsi"/>
          <w:b/>
          <w:sz w:val="22"/>
          <w:szCs w:val="22"/>
        </w:rPr>
        <w:t xml:space="preserve">64 </w:t>
      </w:r>
      <w:r w:rsidRPr="00BA4038">
        <w:rPr>
          <w:rFonts w:asciiTheme="minorHAnsi" w:hAnsiTheme="minorHAnsi" w:cstheme="minorHAnsi"/>
          <w:b/>
          <w:sz w:val="22"/>
          <w:szCs w:val="22"/>
        </w:rPr>
        <w:t>ημερολογιακές ημέρες</w:t>
      </w:r>
      <w:r w:rsidRPr="00D97E0C">
        <w:rPr>
          <w:rFonts w:asciiTheme="minorHAnsi" w:hAnsiTheme="minorHAnsi" w:cstheme="minorHAnsi"/>
          <w:sz w:val="22"/>
          <w:szCs w:val="22"/>
        </w:rPr>
        <w:t>.</w:t>
      </w:r>
    </w:p>
    <w:p w:rsidR="00874FD1" w:rsidRPr="00EA424A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A424A">
        <w:rPr>
          <w:rFonts w:asciiTheme="minorHAnsi" w:hAnsiTheme="minorHAnsi" w:cstheme="minorHAnsi"/>
          <w:sz w:val="22"/>
          <w:szCs w:val="22"/>
          <w:u w:val="single"/>
        </w:rPr>
        <w:t>Αλλαγές Νομοθεσίας- Μελετών</w:t>
      </w:r>
    </w:p>
    <w:p w:rsidR="00874FD1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Εξ’ αιτίας του ότι ο χρόνος που υλοποιήθηκε η μελέτη είναι προγενέστερος του ΠΔ 41/2018, βάση του οποίου τροποποιήθηκαν οι προδιαγραφές και οι απαιτήσεις για την πυρασφάλεια των κτιρίων προέκυψε η ανάγκη τροποποίησης των προδιαγραφόμενων στη μελέτη ηλεκτρικών καλωδίων, καθώς και άλλων υλικών</w:t>
      </w:r>
      <w:r w:rsidRPr="00BA403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4FD1" w:rsidRPr="00BA4038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Συνεπώς εκκρεμεί να εξετασθεί και να εγκριθεί ΑΠΕ με συμπληρωματική σύμβαση που κατά πιθανότητα θα προκύψει μετά την έγκριση των Υπηρεσιών. Για την τροποποίηση μελετών, εγκρίσεων, σύνταξης ΑΠΕ με ΣΣ η εκτιμώμενη καθυστέρηση είναι </w:t>
      </w:r>
      <w:r w:rsidRPr="00FA2363">
        <w:rPr>
          <w:rFonts w:asciiTheme="minorHAnsi" w:hAnsiTheme="minorHAnsi" w:cstheme="minorHAnsi"/>
          <w:b/>
          <w:sz w:val="22"/>
          <w:szCs w:val="22"/>
        </w:rPr>
        <w:t>120 ημερολογιακές μέρες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BA4038">
        <w:rPr>
          <w:rFonts w:asciiTheme="minorHAnsi" w:hAnsiTheme="minorHAnsi" w:cstheme="minorHAnsi"/>
          <w:sz w:val="22"/>
          <w:szCs w:val="22"/>
        </w:rPr>
        <w:t xml:space="preserve">Η αιτούμενη παράταση  για την αδυναμία εκτέλεσης εργασιών λόγω </w:t>
      </w:r>
      <w:r>
        <w:rPr>
          <w:rFonts w:asciiTheme="minorHAnsi" w:hAnsiTheme="minorHAnsi" w:cstheme="minorHAnsi"/>
          <w:sz w:val="22"/>
          <w:szCs w:val="22"/>
        </w:rPr>
        <w:t>των ανωτέρω</w:t>
      </w:r>
      <w:r w:rsidRPr="00BA4038">
        <w:rPr>
          <w:rFonts w:asciiTheme="minorHAnsi" w:hAnsiTheme="minorHAnsi" w:cstheme="minorHAnsi"/>
          <w:sz w:val="22"/>
          <w:szCs w:val="22"/>
        </w:rPr>
        <w:t xml:space="preserve">, αφορά διάστημα:  </w:t>
      </w:r>
      <w:r>
        <w:rPr>
          <w:rFonts w:asciiTheme="minorHAnsi" w:hAnsiTheme="minorHAnsi" w:cstheme="minorHAnsi"/>
          <w:b/>
          <w:sz w:val="22"/>
          <w:szCs w:val="22"/>
        </w:rPr>
        <w:t>184</w:t>
      </w:r>
      <w:r w:rsidRPr="00BA4038">
        <w:rPr>
          <w:rFonts w:asciiTheme="minorHAnsi" w:hAnsiTheme="minorHAnsi" w:cstheme="minorHAnsi"/>
          <w:b/>
          <w:sz w:val="22"/>
          <w:szCs w:val="22"/>
        </w:rPr>
        <w:t xml:space="preserve"> ημερολογιακών ημερών</w:t>
      </w:r>
    </w:p>
    <w:p w:rsidR="00874FD1" w:rsidRPr="00D97E0C" w:rsidRDefault="00874FD1" w:rsidP="00874FD1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97E0C">
        <w:rPr>
          <w:rFonts w:asciiTheme="minorHAnsi" w:hAnsiTheme="minorHAnsi" w:cstheme="minorHAnsi"/>
          <w:sz w:val="22"/>
          <w:szCs w:val="22"/>
        </w:rPr>
        <w:t xml:space="preserve">Κατά συνέπεια, και με βάση τα παραπάνω, η αιτούμενη με το παρόν παράταση χωρίς υπαιτιότητα του αναδόχου,  είναι : </w:t>
      </w:r>
      <w:r w:rsidRPr="00447E7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4+1</w:t>
      </w:r>
      <w:r w:rsidRPr="00447E73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0=1</w:t>
      </w:r>
      <w:r w:rsidRPr="00447E73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97E0C">
        <w:rPr>
          <w:rFonts w:asciiTheme="minorHAnsi" w:hAnsiTheme="minorHAnsi" w:cstheme="minorHAnsi"/>
          <w:sz w:val="22"/>
          <w:szCs w:val="22"/>
        </w:rPr>
        <w:t xml:space="preserve"> ημερολογιακές ημέρες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4FD1" w:rsidRPr="00447E73" w:rsidRDefault="00874FD1" w:rsidP="00874FD1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Σύμφωνα με τ</w:t>
      </w:r>
      <w:r w:rsidRPr="00447E73">
        <w:rPr>
          <w:rFonts w:asciiTheme="minorHAnsi" w:hAnsiTheme="minorHAnsi" w:cstheme="minorHAnsi"/>
          <w:sz w:val="22"/>
          <w:szCs w:val="22"/>
        </w:rPr>
        <w:t xml:space="preserve">ην παράγραφο 5 του άρθρου 65 </w:t>
      </w:r>
      <w:hyperlink r:id="rId8" w:tgtFrame="_blank" w:history="1">
        <w:r w:rsidRPr="00447E73">
          <w:rPr>
            <w:rFonts w:asciiTheme="minorHAnsi" w:hAnsiTheme="minorHAnsi" w:cstheme="minorHAnsi"/>
            <w:sz w:val="22"/>
            <w:szCs w:val="22"/>
          </w:rPr>
          <w:t>του Ν.3852/2010</w:t>
        </w:r>
      </w:hyperlink>
      <w:r w:rsidRPr="00447E73">
        <w:rPr>
          <w:rFonts w:asciiTheme="minorHAnsi" w:hAnsiTheme="minorHAnsi" w:cstheme="minorHAnsi"/>
          <w:sz w:val="22"/>
          <w:szCs w:val="22"/>
        </w:rPr>
        <w:t>, όπως συμπληρώθηκε από την</w:t>
      </w:r>
      <w:hyperlink r:id="rId9" w:tgtFrame="_blank" w:history="1">
        <w:r w:rsidRPr="00447E73">
          <w:rPr>
            <w:rFonts w:asciiTheme="minorHAnsi" w:hAnsiTheme="minorHAnsi" w:cstheme="minorHAnsi"/>
            <w:sz w:val="22"/>
            <w:szCs w:val="22"/>
          </w:rPr>
          <w:t xml:space="preserve"> παρ. 2 του άρθρου 1 του </w:t>
        </w:r>
        <w:r w:rsidRPr="00447E73">
          <w:rPr>
            <w:rFonts w:asciiTheme="minorHAnsi" w:hAnsiTheme="minorHAnsi" w:cstheme="minorHAnsi"/>
            <w:sz w:val="22"/>
            <w:szCs w:val="22"/>
            <w:lang w:val="en-US"/>
          </w:rPr>
          <w:t>N</w:t>
        </w:r>
        <w:r w:rsidRPr="00447E73">
          <w:rPr>
            <w:rFonts w:asciiTheme="minorHAnsi" w:hAnsiTheme="minorHAnsi" w:cstheme="minorHAnsi"/>
            <w:sz w:val="22"/>
            <w:szCs w:val="22"/>
          </w:rPr>
          <w:t>. 4257/2014</w:t>
        </w:r>
      </w:hyperlink>
      <w:r w:rsidRPr="00447E73">
        <w:rPr>
          <w:rFonts w:asciiTheme="minorHAnsi" w:hAnsiTheme="minorHAnsi" w:cstheme="minorHAnsi"/>
          <w:sz w:val="22"/>
          <w:szCs w:val="22"/>
        </w:rPr>
        <w:t xml:space="preserve">, περί απαγόρευσης λήψης αποφάσεων από το Δημοτικό Συμβούλιο ένα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(1) μήνα </w:t>
      </w:r>
      <w:r w:rsidRPr="00447E73">
        <w:rPr>
          <w:rFonts w:asciiTheme="minorHAnsi" w:hAnsiTheme="minorHAnsi" w:cstheme="minorHAnsi"/>
          <w:b/>
          <w:bCs/>
          <w:sz w:val="22"/>
          <w:szCs w:val="22"/>
        </w:rPr>
        <w:t>πριν</w:t>
      </w:r>
      <w:r w:rsidRPr="00447E73">
        <w:rPr>
          <w:rFonts w:asciiTheme="minorHAnsi" w:hAnsiTheme="minorHAnsi" w:cstheme="minorHAnsi"/>
          <w:sz w:val="22"/>
          <w:szCs w:val="22"/>
        </w:rPr>
        <w:t xml:space="preserve"> από τη διενέργεια των εκλογών και </w:t>
      </w:r>
      <w:r w:rsidRPr="00447E73">
        <w:rPr>
          <w:rFonts w:asciiTheme="minorHAnsi" w:hAnsiTheme="minorHAnsi" w:cstheme="minorHAnsi"/>
          <w:b/>
          <w:bCs/>
          <w:sz w:val="22"/>
          <w:szCs w:val="22"/>
        </w:rPr>
        <w:t>μέχρι</w:t>
      </w:r>
      <w:r w:rsidRPr="00447E73">
        <w:rPr>
          <w:rFonts w:asciiTheme="minorHAnsi" w:hAnsiTheme="minorHAnsi" w:cstheme="minorHAnsi"/>
          <w:sz w:val="22"/>
          <w:szCs w:val="22"/>
        </w:rPr>
        <w:t xml:space="preserve"> την εγκατάσταση των νέων δημοτικών αρχών</w:t>
      </w:r>
      <w:r>
        <w:rPr>
          <w:rFonts w:asciiTheme="minorHAnsi" w:hAnsiTheme="minorHAnsi" w:cstheme="minorHAnsi"/>
          <w:sz w:val="22"/>
          <w:szCs w:val="22"/>
        </w:rPr>
        <w:t xml:space="preserve"> και ενώ το αίτημα παράτασης ήταν εμπρόθεσμο εισάγεται το θέμα αυτό τον μήνα στο Συμβούλιο</w:t>
      </w:r>
      <w:r w:rsidRPr="00447E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Επομένως:</w:t>
      </w:r>
    </w:p>
    <w:p w:rsidR="00874FD1" w:rsidRPr="00A879B4" w:rsidRDefault="00874FD1" w:rsidP="00874FD1">
      <w:pPr>
        <w:shd w:val="clear" w:color="auto" w:fill="FFFFFF"/>
        <w:spacing w:line="25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874FD1" w:rsidRPr="00132A2F" w:rsidRDefault="00874FD1" w:rsidP="00874FD1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32A2F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                                       </w:t>
      </w:r>
      <w:r>
        <w:rPr>
          <w:rFonts w:asciiTheme="minorHAnsi" w:eastAsia="Calibri" w:hAnsiTheme="minorHAnsi" w:cstheme="minorHAnsi"/>
          <w:i/>
          <w:sz w:val="22"/>
          <w:szCs w:val="22"/>
        </w:rPr>
        <w:t xml:space="preserve">         </w:t>
      </w:r>
      <w:r w:rsidRPr="00132A2F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132A2F">
        <w:rPr>
          <w:rFonts w:asciiTheme="minorHAnsi" w:hAnsiTheme="minorHAnsi" w:cstheme="minorHAnsi"/>
          <w:b/>
          <w:i/>
          <w:sz w:val="22"/>
          <w:szCs w:val="22"/>
          <w:u w:val="single"/>
        </w:rPr>
        <w:t>Ε Ι Σ Η Γ Ο Υ Μ Ε Θ Α</w:t>
      </w:r>
    </w:p>
    <w:p w:rsidR="00874FD1" w:rsidRPr="00132A2F" w:rsidRDefault="00874FD1" w:rsidP="00874FD1">
      <w:pPr>
        <w:pStyle w:val="af7"/>
        <w:jc w:val="both"/>
        <w:rPr>
          <w:rFonts w:asciiTheme="minorHAnsi" w:hAnsiTheme="minorHAnsi" w:cstheme="minorHAnsi"/>
          <w:sz w:val="22"/>
          <w:szCs w:val="22"/>
        </w:rPr>
      </w:pPr>
      <w:r w:rsidRPr="00132A2F">
        <w:rPr>
          <w:rFonts w:asciiTheme="minorHAnsi" w:hAnsiTheme="minorHAnsi" w:cstheme="minorHAnsi"/>
          <w:sz w:val="22"/>
          <w:szCs w:val="22"/>
        </w:rPr>
        <w:t xml:space="preserve">Την έγκριση </w:t>
      </w:r>
      <w:r>
        <w:rPr>
          <w:rFonts w:asciiTheme="minorHAnsi" w:hAnsiTheme="minorHAnsi" w:cstheme="minorHAnsi"/>
          <w:sz w:val="22"/>
          <w:szCs w:val="22"/>
        </w:rPr>
        <w:t>παράτασης του</w:t>
      </w:r>
      <w:r w:rsidRPr="00132A2F">
        <w:rPr>
          <w:rFonts w:asciiTheme="minorHAnsi" w:hAnsiTheme="minorHAnsi" w:cstheme="minorHAnsi"/>
          <w:sz w:val="22"/>
          <w:szCs w:val="22"/>
        </w:rPr>
        <w:t xml:space="preserve"> έργου:</w:t>
      </w:r>
      <w:r w:rsidRPr="00132A2F">
        <w:rPr>
          <w:rFonts w:asciiTheme="minorHAnsi" w:hAnsiTheme="minorHAnsi" w:cstheme="minorHAnsi"/>
          <w:b/>
          <w:sz w:val="22"/>
          <w:szCs w:val="22"/>
        </w:rPr>
        <w:t xml:space="preserve"> «</w:t>
      </w:r>
      <w:r>
        <w:rPr>
          <w:rFonts w:asciiTheme="minorHAnsi" w:hAnsiTheme="minorHAnsi" w:cstheme="minorHAnsi"/>
          <w:i/>
          <w:sz w:val="22"/>
          <w:szCs w:val="22"/>
        </w:rPr>
        <w:t>ΠΑΡΚΟ ΑΘΛΗΣΗΣ ΔΗΜΟΥ ΛΕΒΑΔΕΩΝ- ΠΡΟΠΟΝΗΤΙΚΟ ΚΕΝΤΡΟ (ΓΥΜΝΑΣΤΗΡΙΟ)</w:t>
      </w:r>
      <w:r w:rsidRPr="00132A2F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132A2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για 184 ημερολογιακές ημέρες με περαίωση στις 02/06/2024.</w:t>
      </w:r>
    </w:p>
    <w:p w:rsidR="00B526FE" w:rsidRPr="00DC0874" w:rsidRDefault="00B526FE" w:rsidP="00B526F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C0874" w:rsidRDefault="00B526FE" w:rsidP="00874FD1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C0874" w:rsidRDefault="00B526FE" w:rsidP="00874FD1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CA6E68" w:rsidRPr="000B520E" w:rsidRDefault="00CA6E68" w:rsidP="00874FD1">
      <w:pPr>
        <w:pStyle w:val="a5"/>
        <w:widowControl w:val="0"/>
        <w:numPr>
          <w:ilvl w:val="0"/>
          <w:numId w:val="2"/>
        </w:numPr>
        <w:suppressAutoHyphens/>
        <w:spacing w:after="120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Το υπ  το υπ΄αριθμ</w:t>
      </w:r>
      <w:r w:rsidR="00A90C58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.1</w:t>
      </w:r>
      <w:r w:rsidR="00874FD1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397</w:t>
      </w:r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/2</w:t>
      </w:r>
      <w:r w:rsidR="00874FD1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2</w:t>
      </w:r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-1-2024  έγγραφο   της Δ/</w:t>
      </w:r>
      <w:proofErr w:type="spellStart"/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0B520E">
        <w:rPr>
          <w:rFonts w:asciiTheme="minorHAnsi" w:eastAsia="Arial" w:hAnsiTheme="minorHAnsi" w:cstheme="minorHAnsi"/>
          <w:szCs w:val="22"/>
          <w:highlight w:val="white"/>
          <w:shd w:val="clear" w:color="auto" w:fill="FFFFFF"/>
          <w:lang w:bidi="hi-IN"/>
        </w:rPr>
        <w:t xml:space="preserve">  Τεχνικών Υπηρεσιών </w:t>
      </w:r>
      <w:r w:rsidRPr="000B520E">
        <w:rPr>
          <w:rStyle w:val="af5"/>
          <w:rFonts w:asciiTheme="minorHAnsi" w:eastAsia="Arial" w:hAnsiTheme="minorHAnsi" w:cstheme="minorHAnsi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>του Δήμου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shd w:val="clear" w:color="auto" w:fill="FFFFFF"/>
          <w:lang w:bidi="hi-IN"/>
        </w:rPr>
        <w:t xml:space="preserve"> </w:t>
      </w:r>
      <w:r w:rsidRPr="000B520E">
        <w:rPr>
          <w:rStyle w:val="af5"/>
          <w:rFonts w:asciiTheme="minorHAnsi" w:eastAsia="Arial" w:hAnsiTheme="minorHAnsi" w:cstheme="minorHAnsi"/>
          <w:i w:val="0"/>
          <w:spacing w:val="-3"/>
          <w:szCs w:val="22"/>
          <w:highlight w:val="white"/>
          <w:shd w:val="clear" w:color="auto" w:fill="FFFFFF"/>
          <w:lang w:bidi="hi-IN"/>
        </w:rPr>
        <w:t xml:space="preserve">  </w:t>
      </w:r>
    </w:p>
    <w:p w:rsidR="00874FD1" w:rsidRPr="00EC04BD" w:rsidRDefault="00874FD1" w:rsidP="00874FD1">
      <w:pPr>
        <w:pStyle w:val="a5"/>
        <w:numPr>
          <w:ilvl w:val="0"/>
          <w:numId w:val="36"/>
        </w:numPr>
        <w:tabs>
          <w:tab w:val="clear" w:pos="720"/>
        </w:tabs>
        <w:suppressAutoHyphens/>
        <w:spacing w:before="57" w:after="57" w:line="276" w:lineRule="auto"/>
        <w:jc w:val="both"/>
        <w:rPr>
          <w:rFonts w:asciiTheme="minorHAnsi" w:hAnsiTheme="minorHAnsi" w:cstheme="minorHAnsi"/>
          <w:szCs w:val="22"/>
        </w:rPr>
      </w:pPr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Το </w:t>
      </w:r>
      <w:proofErr w:type="spellStart"/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υπ΄αριθμ</w:t>
      </w:r>
      <w:proofErr w:type="spellEnd"/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 xml:space="preserve">  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21293/1-11</w:t>
      </w:r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-202</w:t>
      </w:r>
      <w:r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3</w:t>
      </w:r>
      <w:r w:rsidRPr="00EC04BD">
        <w:rPr>
          <w:rFonts w:asciiTheme="minorHAnsi" w:eastAsia="Arial Unicode MS" w:hAnsiTheme="minorHAnsi" w:cstheme="minorHAnsi"/>
          <w:szCs w:val="22"/>
        </w:rPr>
        <w:t xml:space="preserve"> </w:t>
      </w:r>
      <w:r w:rsidRPr="00EC04BD">
        <w:rPr>
          <w:rFonts w:asciiTheme="minorHAnsi" w:eastAsia="Arial" w:hAnsiTheme="minorHAnsi" w:cstheme="minorHAnsi"/>
          <w:bCs/>
          <w:iCs/>
          <w:color w:val="000000"/>
          <w:kern w:val="1"/>
          <w:szCs w:val="22"/>
          <w:shd w:val="clear" w:color="auto" w:fill="FFFFFF"/>
        </w:rPr>
        <w:t>αίτημα του αναδόχου</w:t>
      </w:r>
    </w:p>
    <w:p w:rsidR="00874FD1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Την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υπ΄αριθμ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. 67/2018 Μελέτη της ΤΥΔΛ</w:t>
      </w:r>
    </w:p>
    <w:p w:rsidR="00874FD1" w:rsidRPr="00EC04BD" w:rsidRDefault="00874FD1" w:rsidP="00874FD1">
      <w:pPr>
        <w:pStyle w:val="20"/>
        <w:numPr>
          <w:ilvl w:val="0"/>
          <w:numId w:val="41"/>
        </w:num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C04BD">
        <w:rPr>
          <w:rFonts w:asciiTheme="minorHAnsi" w:eastAsia="Arial" w:hAnsiTheme="minorHAnsi" w:cstheme="minorHAnsi"/>
          <w:sz w:val="22"/>
          <w:szCs w:val="22"/>
        </w:rPr>
        <w:t xml:space="preserve">Την υπ </w:t>
      </w:r>
      <w:proofErr w:type="spellStart"/>
      <w:r w:rsidRPr="00EC04BD">
        <w:rPr>
          <w:rFonts w:asciiTheme="minorHAnsi" w:eastAsia="Arial" w:hAnsiTheme="minorHAnsi" w:cstheme="minorHAnsi"/>
          <w:sz w:val="22"/>
          <w:szCs w:val="22"/>
        </w:rPr>
        <w:t>αρίθμ</w:t>
      </w:r>
      <w:proofErr w:type="spellEnd"/>
      <w:r w:rsidRPr="00EC04BD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E420E">
        <w:rPr>
          <w:rFonts w:asciiTheme="minorHAnsi" w:eastAsia="Arial" w:hAnsiTheme="minorHAnsi" w:cstheme="minorHAnsi"/>
          <w:sz w:val="22"/>
          <w:szCs w:val="22"/>
        </w:rPr>
        <w:t>221/2019</w:t>
      </w:r>
      <w:r w:rsidRPr="00EC04BD">
        <w:rPr>
          <w:rFonts w:asciiTheme="minorHAnsi" w:eastAsia="Arial" w:hAnsiTheme="minorHAnsi" w:cstheme="minorHAnsi"/>
          <w:sz w:val="22"/>
          <w:szCs w:val="22"/>
        </w:rPr>
        <w:t xml:space="preserve"> απόφαση Οικονομικής Επιτροπής με την οποία εγκρίθηκε η διενέργεια ανοικτού ηλεκτρονικού διαγωνισμού και κατάρτισης όρων διακήρυξης </w:t>
      </w:r>
      <w:r w:rsidR="00AE420E">
        <w:rPr>
          <w:rFonts w:asciiTheme="minorHAnsi" w:eastAsia="Arial" w:hAnsiTheme="minorHAnsi" w:cstheme="minorHAnsi"/>
          <w:sz w:val="22"/>
          <w:szCs w:val="22"/>
        </w:rPr>
        <w:t>.</w:t>
      </w:r>
    </w:p>
    <w:p w:rsidR="00874FD1" w:rsidRPr="00AE420E" w:rsidRDefault="00874FD1" w:rsidP="00874FD1">
      <w:pPr>
        <w:numPr>
          <w:ilvl w:val="0"/>
          <w:numId w:val="4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AE420E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AE420E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AE420E">
        <w:rPr>
          <w:rFonts w:asciiTheme="minorHAnsi" w:hAnsiTheme="minorHAnsi" w:cstheme="minorHAnsi"/>
          <w:sz w:val="22"/>
          <w:szCs w:val="22"/>
        </w:rPr>
        <w:t xml:space="preserve"> 288/2020 (ΑΔΑ Ω1ΒΥΩΛΗ-Λ2Μ) απόφαση της Οικονομικής Επιτροπής του Δήμου </w:t>
      </w:r>
      <w:proofErr w:type="spellStart"/>
      <w:r w:rsidRPr="00AE420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AE420E">
        <w:rPr>
          <w:rFonts w:asciiTheme="minorHAnsi" w:hAnsiTheme="minorHAnsi" w:cstheme="minorHAnsi"/>
          <w:sz w:val="22"/>
          <w:szCs w:val="22"/>
        </w:rPr>
        <w:t xml:space="preserve"> , έγινε κατακύρωση στην εταιρεία </w:t>
      </w:r>
      <w:r w:rsidRPr="00AE420E">
        <w:rPr>
          <w:rFonts w:asciiTheme="minorHAnsi" w:hAnsiTheme="minorHAnsi" w:cstheme="minorHAnsi"/>
          <w:sz w:val="22"/>
          <w:szCs w:val="22"/>
          <w:lang w:val="en-US"/>
        </w:rPr>
        <w:t>VASARTIS</w:t>
      </w:r>
      <w:r w:rsidRPr="00AE420E">
        <w:rPr>
          <w:rFonts w:asciiTheme="minorHAnsi" w:hAnsiTheme="minorHAnsi" w:cstheme="minorHAnsi"/>
          <w:sz w:val="22"/>
          <w:szCs w:val="22"/>
        </w:rPr>
        <w:t xml:space="preserve"> </w:t>
      </w:r>
      <w:r w:rsidRPr="00AE420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AE420E">
        <w:rPr>
          <w:rFonts w:asciiTheme="minorHAnsi" w:hAnsiTheme="minorHAnsi" w:cstheme="minorHAnsi"/>
          <w:sz w:val="22"/>
          <w:szCs w:val="22"/>
        </w:rPr>
        <w:t>.</w:t>
      </w:r>
      <w:r w:rsidRPr="00AE420E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AE420E">
        <w:rPr>
          <w:rFonts w:asciiTheme="minorHAnsi" w:hAnsiTheme="minorHAnsi" w:cstheme="minorHAnsi"/>
          <w:sz w:val="22"/>
          <w:szCs w:val="22"/>
        </w:rPr>
        <w:t xml:space="preserve"> του έργου και ελέγχθηκε ως προς τη νομιμότητα με το υπ’ </w:t>
      </w:r>
      <w:proofErr w:type="spellStart"/>
      <w:r w:rsidRPr="00AE420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E420E">
        <w:rPr>
          <w:rFonts w:asciiTheme="minorHAnsi" w:hAnsiTheme="minorHAnsi" w:cstheme="minorHAnsi"/>
          <w:sz w:val="22"/>
          <w:szCs w:val="22"/>
        </w:rPr>
        <w:t xml:space="preserve">. 220620/23-11-20 έγγραφο της Αποκεντρωμένης Διοίκησης Θεσσαλίας Στερεάς Ελλάδας. </w:t>
      </w:r>
    </w:p>
    <w:p w:rsidR="00874FD1" w:rsidRPr="00302FB1" w:rsidRDefault="00874FD1" w:rsidP="00AE420E">
      <w:pPr>
        <w:pStyle w:val="20"/>
        <w:numPr>
          <w:ilvl w:val="0"/>
          <w:numId w:val="41"/>
        </w:numPr>
        <w:suppressAutoHyphens/>
        <w:spacing w:after="120"/>
        <w:rPr>
          <w:rFonts w:asciiTheme="minorHAnsi" w:eastAsia="Arial" w:hAnsiTheme="minorHAnsi" w:cstheme="minorHAnsi"/>
          <w:b/>
          <w:sz w:val="22"/>
          <w:szCs w:val="22"/>
        </w:rPr>
      </w:pPr>
      <w:r w:rsidRPr="00302FB1">
        <w:rPr>
          <w:rFonts w:asciiTheme="minorHAnsi" w:eastAsia="Arial" w:hAnsiTheme="minorHAnsi" w:cstheme="minorHAnsi"/>
          <w:sz w:val="22"/>
          <w:szCs w:val="22"/>
        </w:rPr>
        <w:t xml:space="preserve">Την  </w:t>
      </w:r>
      <w:r w:rsidR="00B2740C" w:rsidRPr="00302FB1">
        <w:rPr>
          <w:rFonts w:asciiTheme="minorHAnsi" w:eastAsia="Arial" w:hAnsiTheme="minorHAnsi" w:cstheme="minorHAnsi"/>
          <w:sz w:val="22"/>
          <w:szCs w:val="22"/>
        </w:rPr>
        <w:t xml:space="preserve"> από 19/2/2021 </w:t>
      </w:r>
      <w:r w:rsidR="00302FB1" w:rsidRPr="00302FB1">
        <w:rPr>
          <w:rFonts w:asciiTheme="minorHAnsi" w:eastAsia="Arial" w:hAnsiTheme="minorHAnsi" w:cstheme="minorHAnsi"/>
          <w:sz w:val="22"/>
          <w:szCs w:val="22"/>
        </w:rPr>
        <w:t>υπογραφείσα σύμβαση συνολικού ποσού 1.308.147,44</w:t>
      </w:r>
      <w:r w:rsidRPr="00302FB1">
        <w:rPr>
          <w:rFonts w:asciiTheme="minorHAnsi" w:eastAsia="Arial" w:hAnsiTheme="minorHAnsi" w:cstheme="minorHAnsi"/>
          <w:sz w:val="22"/>
          <w:szCs w:val="22"/>
        </w:rPr>
        <w:t xml:space="preserve">€ πλέον ΦΠΑ 24% </w:t>
      </w:r>
    </w:p>
    <w:p w:rsidR="00AE420E" w:rsidRPr="00AE420E" w:rsidRDefault="00AE420E" w:rsidP="00AE420E">
      <w:pPr>
        <w:numPr>
          <w:ilvl w:val="0"/>
          <w:numId w:val="41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 w:rsidRPr="00302FB1">
        <w:rPr>
          <w:rFonts w:asciiTheme="minorHAnsi" w:hAnsiTheme="minorHAnsi" w:cstheme="minorHAnsi"/>
          <w:sz w:val="22"/>
          <w:szCs w:val="22"/>
        </w:rPr>
        <w:t xml:space="preserve">Την υπ’ </w:t>
      </w:r>
      <w:proofErr w:type="spellStart"/>
      <w:r w:rsidRPr="00302FB1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302FB1">
        <w:rPr>
          <w:rFonts w:asciiTheme="minorHAnsi" w:hAnsiTheme="minorHAnsi" w:cstheme="minorHAnsi"/>
          <w:sz w:val="22"/>
          <w:szCs w:val="22"/>
        </w:rPr>
        <w:t>. 382/2022 απόφαση Ο.Ε. με την οποία δόθηκε παράταση έως 30-6-2023</w:t>
      </w:r>
      <w:r w:rsidRPr="00302FB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E420E" w:rsidRPr="00AE420E" w:rsidRDefault="00AE420E" w:rsidP="00AE420E">
      <w:pPr>
        <w:numPr>
          <w:ilvl w:val="0"/>
          <w:numId w:val="41"/>
        </w:numPr>
        <w:suppressAutoHyphens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</w:t>
      </w:r>
      <w:r w:rsidRPr="00AE420E">
        <w:rPr>
          <w:rFonts w:asciiTheme="minorHAnsi" w:hAnsiTheme="minorHAnsi" w:cstheme="minorHAnsi"/>
          <w:sz w:val="22"/>
          <w:szCs w:val="22"/>
        </w:rPr>
        <w:t xml:space="preserve">ην υπ’ </w:t>
      </w:r>
      <w:proofErr w:type="spellStart"/>
      <w:r w:rsidRPr="00AE420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AE420E">
        <w:rPr>
          <w:rFonts w:asciiTheme="minorHAnsi" w:hAnsiTheme="minorHAnsi" w:cstheme="minorHAnsi"/>
          <w:sz w:val="22"/>
          <w:szCs w:val="22"/>
        </w:rPr>
        <w:t xml:space="preserve">. 131/2023 απόφαση </w:t>
      </w:r>
      <w:proofErr w:type="spellStart"/>
      <w:r w:rsidRPr="00AE420E">
        <w:rPr>
          <w:rFonts w:asciiTheme="minorHAnsi" w:hAnsiTheme="minorHAnsi" w:cstheme="minorHAnsi"/>
          <w:sz w:val="22"/>
          <w:szCs w:val="22"/>
        </w:rPr>
        <w:t>Δ.Σ.</w:t>
      </w:r>
      <w:r>
        <w:rPr>
          <w:rFonts w:asciiTheme="minorHAnsi" w:hAnsiTheme="minorHAnsi" w:cstheme="minorHAnsi"/>
          <w:sz w:val="22"/>
          <w:szCs w:val="22"/>
        </w:rPr>
        <w:t>με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την οποία </w:t>
      </w:r>
      <w:r w:rsidRPr="00AE420E">
        <w:rPr>
          <w:rFonts w:asciiTheme="minorHAnsi" w:hAnsiTheme="minorHAnsi" w:cstheme="minorHAnsi"/>
          <w:sz w:val="22"/>
          <w:szCs w:val="22"/>
        </w:rPr>
        <w:t xml:space="preserve"> δόθηκε παράταση έως 01-12-2023</w:t>
      </w:r>
    </w:p>
    <w:p w:rsidR="00CA6E68" w:rsidRPr="00A90C58" w:rsidRDefault="00CA6E68" w:rsidP="00874FD1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90C5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A90C58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Default="00CA6E68" w:rsidP="00874FD1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0B520E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0B520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584297" w:rsidRPr="000B520E" w:rsidRDefault="00584297" w:rsidP="00584297">
      <w:pPr>
        <w:pStyle w:val="a5"/>
        <w:spacing w:before="120" w:after="120"/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520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0B5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B52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ΑΠΟΦΑΣΙΖΕΙ  ΟΜΟΦΩΝΑ</w:t>
      </w:r>
    </w:p>
    <w:p w:rsidR="00CA6E68" w:rsidRPr="000B520E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20E" w:rsidRPr="001A059F" w:rsidRDefault="00AE420E" w:rsidP="00AE42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Εγκρίνει </w:t>
      </w:r>
      <w:r w:rsidRPr="001A059F">
        <w:rPr>
          <w:rFonts w:asciiTheme="minorHAnsi" w:eastAsia="Dotum" w:hAnsiTheme="minorHAnsi" w:cstheme="minorHAnsi"/>
          <w:bCs/>
          <w:spacing w:val="-3"/>
          <w:sz w:val="22"/>
          <w:szCs w:val="22"/>
          <w:shd w:val="clear" w:color="auto" w:fill="FFFFFF"/>
        </w:rPr>
        <w:t>την</w:t>
      </w:r>
      <w:r w:rsidRPr="001A059F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584297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>3</w:t>
      </w:r>
      <w:r w:rsidR="00584297" w:rsidRPr="00584297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  <w:vertAlign w:val="superscript"/>
        </w:rPr>
        <w:t>η</w:t>
      </w:r>
      <w:r w:rsidR="00584297">
        <w:rPr>
          <w:rFonts w:asciiTheme="minorHAnsi" w:eastAsia="Dotum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Pr="001A059F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παράταση προθεσμίας 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</w:t>
      </w:r>
      <w:r w:rsidR="001775CE" w:rsidRPr="001A059F">
        <w:rPr>
          <w:rFonts w:asciiTheme="minorHAnsi" w:eastAsia="Arial Unicode MS" w:hAnsiTheme="minorHAnsi" w:cstheme="minorHAnsi"/>
          <w:sz w:val="22"/>
          <w:szCs w:val="22"/>
        </w:rPr>
        <w:t>εκ</w:t>
      </w:r>
      <w:r w:rsidR="001775CE">
        <w:rPr>
          <w:rFonts w:asciiTheme="minorHAnsi" w:eastAsia="Arial Unicode MS" w:hAnsiTheme="minorHAnsi" w:cstheme="minorHAnsi"/>
          <w:sz w:val="22"/>
          <w:szCs w:val="22"/>
        </w:rPr>
        <w:t xml:space="preserve">τέλεσης  του έργου με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τίτλο </w:t>
      </w:r>
      <w:r w:rsidRPr="001A059F">
        <w:rPr>
          <w:rFonts w:asciiTheme="minorHAnsi" w:hAnsiTheme="minorHAnsi" w:cstheme="minorHAnsi"/>
          <w:sz w:val="22"/>
          <w:szCs w:val="22"/>
        </w:rPr>
        <w:t>«</w:t>
      </w:r>
      <w:r w:rsidRPr="003176FB">
        <w:rPr>
          <w:rFonts w:asciiTheme="minorHAnsi" w:hAnsiTheme="minorHAnsi" w:cstheme="minorHAnsi"/>
          <w:sz w:val="22"/>
          <w:szCs w:val="22"/>
        </w:rPr>
        <w:t>ΠΑΡΚΟ ΑΘΛΗΣΗΣ ΔΗΜΟΥ ΛΕΒΑΔΕΩΝ- ΠΡΟΠΟΝΗΤΙΚΟ ΚΕΝΤΡΟ (ΓΥΜΝΑΣΤΗΡΙΟ)</w:t>
      </w:r>
      <w:r w:rsidRPr="001A059F">
        <w:rPr>
          <w:rFonts w:asciiTheme="minorHAnsi" w:eastAsia="Arial" w:hAnsiTheme="minorHAnsi" w:cstheme="minorHAnsi"/>
          <w:sz w:val="22"/>
          <w:szCs w:val="22"/>
        </w:rPr>
        <w:t xml:space="preserve">»,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>για  (</w:t>
      </w:r>
      <w:r>
        <w:rPr>
          <w:rFonts w:asciiTheme="minorHAnsi" w:eastAsia="Arial Unicode MS" w:hAnsiTheme="minorHAnsi" w:cstheme="minorHAnsi"/>
          <w:sz w:val="22"/>
          <w:szCs w:val="22"/>
        </w:rPr>
        <w:t>184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>
        <w:rPr>
          <w:rFonts w:asciiTheme="minorHAnsi" w:eastAsia="Arial Unicode MS" w:hAnsiTheme="minorHAnsi" w:cstheme="minorHAnsi"/>
          <w:sz w:val="22"/>
          <w:szCs w:val="22"/>
        </w:rPr>
        <w:t>ημέρες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ήτοι</w:t>
      </w:r>
      <w:r w:rsidRPr="001A059F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2-6-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Pr="001A059F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, </w:t>
      </w:r>
      <w:r w:rsidRPr="001A059F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142BDA" w:rsidRPr="00DC0874" w:rsidRDefault="00142BDA" w:rsidP="00142B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4104" w:rsidRPr="00DC087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lastRenderedPageBreak/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584297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53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C08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985" w:rsidRPr="00DC0874" w:rsidTr="00CA0437">
        <w:trPr>
          <w:trHeight w:val="340"/>
        </w:trPr>
        <w:tc>
          <w:tcPr>
            <w:tcW w:w="1093" w:type="dxa"/>
            <w:shd w:val="clear" w:color="auto" w:fill="FFFFFF"/>
          </w:tcPr>
          <w:p w:rsidR="00AE4985" w:rsidRPr="00DC0874" w:rsidRDefault="00AE4985" w:rsidP="00CA0437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AE4985" w:rsidRPr="00DC0874" w:rsidRDefault="00AE4985" w:rsidP="00CA0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AE4985" w:rsidRPr="00DC0874" w:rsidRDefault="00AE4985" w:rsidP="00CA043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E4985" w:rsidRPr="00DC0874" w:rsidRDefault="00AE4985" w:rsidP="00CA043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10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4E" w:rsidRDefault="00C0104E">
      <w:r>
        <w:separator/>
      </w:r>
    </w:p>
  </w:endnote>
  <w:endnote w:type="continuationSeparator" w:id="0">
    <w:p w:rsidR="00C0104E" w:rsidRDefault="00C0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AE4985">
    <w:pPr>
      <w:pStyle w:val="a3"/>
      <w:jc w:val="center"/>
    </w:pPr>
    <w:r>
      <w:t>53</w:t>
    </w:r>
    <w:r w:rsidR="0098716A">
      <w:t xml:space="preserve">/2024 ΑΠΟΦΑΣΗ ΔΗΜΟΤΙΚΟΥ ΣΥΜΒΟΥΛΙΟΥ ΔΗΜΟΥ ΛΕΒΑΔΕΩΝ   </w:t>
    </w:r>
    <w:fldSimple w:instr=" PAGE   \* MERGEFORMAT ">
      <w:r w:rsidR="00FB60C8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4E" w:rsidRDefault="00C0104E">
      <w:r>
        <w:separator/>
      </w:r>
    </w:p>
  </w:footnote>
  <w:footnote w:type="continuationSeparator" w:id="0">
    <w:p w:rsidR="00C0104E" w:rsidRDefault="00C01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5"/>
  </w:num>
  <w:num w:numId="3">
    <w:abstractNumId w:val="29"/>
  </w:num>
  <w:num w:numId="4">
    <w:abstractNumId w:val="28"/>
  </w:num>
  <w:num w:numId="5">
    <w:abstractNumId w:val="27"/>
  </w:num>
  <w:num w:numId="6">
    <w:abstractNumId w:val="43"/>
  </w:num>
  <w:num w:numId="7">
    <w:abstractNumId w:val="40"/>
  </w:num>
  <w:num w:numId="8">
    <w:abstractNumId w:val="56"/>
  </w:num>
  <w:num w:numId="9">
    <w:abstractNumId w:val="38"/>
  </w:num>
  <w:num w:numId="10">
    <w:abstractNumId w:val="34"/>
  </w:num>
  <w:num w:numId="11">
    <w:abstractNumId w:val="44"/>
  </w:num>
  <w:num w:numId="12">
    <w:abstractNumId w:val="46"/>
  </w:num>
  <w:num w:numId="13">
    <w:abstractNumId w:val="54"/>
  </w:num>
  <w:num w:numId="14">
    <w:abstractNumId w:val="39"/>
  </w:num>
  <w:num w:numId="15">
    <w:abstractNumId w:val="50"/>
  </w:num>
  <w:num w:numId="16">
    <w:abstractNumId w:val="57"/>
  </w:num>
  <w:num w:numId="17">
    <w:abstractNumId w:val="26"/>
  </w:num>
  <w:num w:numId="18">
    <w:abstractNumId w:val="37"/>
  </w:num>
  <w:num w:numId="19">
    <w:abstractNumId w:val="32"/>
  </w:num>
  <w:num w:numId="20">
    <w:abstractNumId w:val="41"/>
  </w:num>
  <w:num w:numId="21">
    <w:abstractNumId w:val="52"/>
  </w:num>
  <w:num w:numId="22">
    <w:abstractNumId w:val="24"/>
  </w:num>
  <w:num w:numId="23">
    <w:abstractNumId w:val="53"/>
  </w:num>
  <w:num w:numId="24">
    <w:abstractNumId w:val="1"/>
  </w:num>
  <w:num w:numId="25">
    <w:abstractNumId w:val="42"/>
  </w:num>
  <w:num w:numId="26">
    <w:abstractNumId w:val="2"/>
  </w:num>
  <w:num w:numId="27">
    <w:abstractNumId w:val="10"/>
  </w:num>
  <w:num w:numId="28">
    <w:abstractNumId w:val="45"/>
  </w:num>
  <w:num w:numId="29">
    <w:abstractNumId w:val="47"/>
  </w:num>
  <w:num w:numId="30">
    <w:abstractNumId w:val="36"/>
  </w:num>
  <w:num w:numId="31">
    <w:abstractNumId w:val="35"/>
  </w:num>
  <w:num w:numId="32">
    <w:abstractNumId w:val="49"/>
  </w:num>
  <w:num w:numId="33">
    <w:abstractNumId w:val="3"/>
  </w:num>
  <w:num w:numId="34">
    <w:abstractNumId w:val="25"/>
  </w:num>
  <w:num w:numId="35">
    <w:abstractNumId w:val="4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1"/>
  </w:num>
  <w:num w:numId="39">
    <w:abstractNumId w:val="5"/>
  </w:num>
  <w:num w:numId="40">
    <w:abstractNumId w:val="48"/>
  </w:num>
  <w:num w:numId="41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3E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775CE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31F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2FB1"/>
    <w:rsid w:val="003034AC"/>
    <w:rsid w:val="00303640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CB"/>
    <w:rsid w:val="004060FA"/>
    <w:rsid w:val="00406127"/>
    <w:rsid w:val="00406160"/>
    <w:rsid w:val="00406247"/>
    <w:rsid w:val="0040643E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91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297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6201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4985"/>
    <w:rsid w:val="00AE5562"/>
    <w:rsid w:val="00AF1B58"/>
    <w:rsid w:val="00AF219F"/>
    <w:rsid w:val="00AF2B84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0C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C00E13"/>
    <w:rsid w:val="00C0104E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B60C8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65-%CE%B1%CF%81%CE%BC%CE%BF%CE%B4%CE%B9%CF%8C%CF%84%CE%B7%CF%84%CE%B5%CF%82-%CF%84%CE%BF%CF%85-%CE%B4%CE%B7%CE%BC%CE%BF%CF%84%CE%B9%CE%BA%CE%BF%CF%8D-%CF%83%CF%85%CE%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1-6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54C759-B2F8-466F-8564-9490A78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2024-01-31T09:31:00Z</cp:lastPrinted>
  <dcterms:created xsi:type="dcterms:W3CDTF">2024-02-12T07:39:00Z</dcterms:created>
  <dcterms:modified xsi:type="dcterms:W3CDTF">2024-02-26T07:36:00Z</dcterms:modified>
</cp:coreProperties>
</file>