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56" w:rsidRPr="008C19E4" w:rsidRDefault="007E1D56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ΑΝΑΡΤΗΤΕΑ ΣΤΟ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</w:t>
      </w:r>
      <w:r w:rsidR="00845ACF">
        <w:rPr>
          <w:rFonts w:ascii="Arial" w:eastAsia="Arial" w:hAnsi="Arial" w:cs="Arial"/>
          <w:b/>
          <w:bCs/>
          <w:sz w:val="22"/>
          <w:szCs w:val="22"/>
        </w:rPr>
        <w:t>21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685B01">
        <w:rPr>
          <w:rFonts w:ascii="Arial" w:eastAsia="Arial" w:hAnsi="Arial" w:cs="Arial"/>
          <w:b/>
          <w:bCs/>
          <w:sz w:val="22"/>
          <w:szCs w:val="22"/>
        </w:rPr>
        <w:t>2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7E1D56">
        <w:rPr>
          <w:rFonts w:ascii="Arial" w:eastAsia="Arial" w:hAnsi="Arial" w:cs="Arial"/>
          <w:b/>
          <w:sz w:val="22"/>
          <w:szCs w:val="22"/>
        </w:rPr>
        <w:t xml:space="preserve"> </w:t>
      </w:r>
      <w:r w:rsidR="005523D5">
        <w:rPr>
          <w:rFonts w:ascii="Arial" w:eastAsia="Arial" w:hAnsi="Arial" w:cs="Arial"/>
          <w:b/>
          <w:sz w:val="22"/>
          <w:szCs w:val="22"/>
        </w:rPr>
        <w:t xml:space="preserve">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5523D5">
        <w:rPr>
          <w:rFonts w:ascii="Arial" w:eastAsia="Calibri" w:hAnsi="Arial" w:cs="Arial"/>
          <w:b/>
          <w:sz w:val="22"/>
          <w:szCs w:val="22"/>
        </w:rPr>
        <w:t>3289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845ACF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8C19E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E20E9B" w:rsidRPr="001D029A">
        <w:rPr>
          <w:rFonts w:ascii="Arial" w:hAnsi="Arial" w:cs="Arial"/>
          <w:b/>
          <w:sz w:val="22"/>
          <w:szCs w:val="22"/>
        </w:rPr>
        <w:t>5</w:t>
      </w:r>
      <w:r w:rsidR="00AC338A">
        <w:rPr>
          <w:rFonts w:ascii="Arial" w:hAnsi="Arial" w:cs="Arial"/>
          <w:b/>
          <w:sz w:val="22"/>
          <w:szCs w:val="22"/>
        </w:rPr>
        <w:t>1</w:t>
      </w:r>
    </w:p>
    <w:p w:rsidR="001D029A" w:rsidRPr="001D029A" w:rsidRDefault="001D029A" w:rsidP="001D029A">
      <w:pPr>
        <w:pStyle w:val="aff0"/>
        <w:jc w:val="both"/>
        <w:rPr>
          <w:rFonts w:ascii="Arial" w:hAnsi="Arial" w:cs="Arial"/>
          <w:b/>
          <w:sz w:val="22"/>
          <w:szCs w:val="22"/>
        </w:rPr>
      </w:pPr>
      <w:r w:rsidRPr="001D029A">
        <w:rPr>
          <w:rFonts w:ascii="Arial" w:hAnsi="Arial" w:cs="Arial"/>
          <w:b/>
          <w:sz w:val="22"/>
          <w:szCs w:val="22"/>
        </w:rPr>
        <w:t>Έγκριση του 2</w:t>
      </w:r>
      <w:r w:rsidRPr="001D029A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1D029A">
        <w:rPr>
          <w:rFonts w:ascii="Arial" w:hAnsi="Arial" w:cs="Arial"/>
          <w:b/>
          <w:sz w:val="22"/>
          <w:szCs w:val="22"/>
        </w:rPr>
        <w:t xml:space="preserve">  Ανακεφαλαιωτικού Πίνακα Εργασιών του έργου</w:t>
      </w:r>
      <w:r>
        <w:rPr>
          <w:rFonts w:ascii="Arial" w:hAnsi="Arial" w:cs="Arial"/>
          <w:b/>
          <w:sz w:val="22"/>
          <w:szCs w:val="22"/>
        </w:rPr>
        <w:t>:</w:t>
      </w:r>
      <w:r w:rsidRPr="001D029A">
        <w:rPr>
          <w:rFonts w:ascii="Arial" w:hAnsi="Arial" w:cs="Arial"/>
          <w:b/>
          <w:sz w:val="22"/>
          <w:szCs w:val="22"/>
        </w:rPr>
        <w:t xml:space="preserve"> «ΠΑΡΕΜΒΑΣΕΙΣ ΓΙΑ ΠΡΟΣΑΡΜΟΓΗ ΛΕΙΤΟΥΡΓΟΥΝΤΩΝ ΕΞΙ (6) ΔΗΜΟΤΙΚΩΝ ΒΡΕΦΙΚΩΝ ΠΑΙΔΙΚΩΝ ΚΑΙ ΒΡΕΦΟΝΗΠΙΑΚΩΝ ΣΤΑΘΜΩΝ ΣΤΙΣ ΠΡΟΔΙΑΓΡΑΦΕΣ ΤΟΥΣ ΝΕΟΥ ΘΕΣΜΙΚΟΥ ΠΛΑΙΣΙΟΥ ΑΔΕΙΟΔΟΤΗΣΗΣ ΣΥΜΦΩΝΑ ΜΕ ΤΙΣ ΔΙΑΤΑΞΕΙΣ ΤΟΥ Π.Δ 99/2017».</w:t>
      </w:r>
    </w:p>
    <w:p w:rsidR="00644406" w:rsidRPr="000E682C" w:rsidRDefault="00644406" w:rsidP="00644406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845ACF">
        <w:rPr>
          <w:rFonts w:ascii="Arial" w:hAnsi="Arial" w:cs="Arial"/>
          <w:sz w:val="22"/>
          <w:szCs w:val="22"/>
        </w:rPr>
        <w:t>20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685B01">
        <w:rPr>
          <w:rFonts w:ascii="Arial" w:hAnsi="Arial" w:cs="Arial"/>
          <w:sz w:val="22"/>
          <w:szCs w:val="22"/>
        </w:rPr>
        <w:t>Φεβρουαρίου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845ACF">
        <w:rPr>
          <w:rFonts w:ascii="Arial" w:hAnsi="Arial" w:cs="Arial"/>
          <w:sz w:val="22"/>
          <w:szCs w:val="22"/>
        </w:rPr>
        <w:t>Τρίτη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685B01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>.</w:t>
      </w:r>
      <w:r w:rsidR="00845ACF">
        <w:rPr>
          <w:rFonts w:ascii="Arial" w:hAnsi="Arial" w:cs="Arial"/>
          <w:sz w:val="22"/>
          <w:szCs w:val="22"/>
        </w:rPr>
        <w:t>45</w:t>
      </w:r>
      <w:r w:rsidR="006A6165" w:rsidRPr="008C19E4">
        <w:rPr>
          <w:rFonts w:ascii="Arial" w:hAnsi="Arial" w:cs="Arial"/>
          <w:sz w:val="22"/>
          <w:szCs w:val="22"/>
        </w:rPr>
        <w:t xml:space="preserve"> 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531436">
        <w:rPr>
          <w:rFonts w:ascii="Arial" w:hAnsi="Arial" w:cs="Arial"/>
          <w:sz w:val="22"/>
          <w:szCs w:val="22"/>
        </w:rPr>
        <w:t>2</w:t>
      </w:r>
      <w:r w:rsidR="00845ACF">
        <w:rPr>
          <w:rFonts w:ascii="Arial" w:hAnsi="Arial" w:cs="Arial"/>
          <w:sz w:val="22"/>
          <w:szCs w:val="22"/>
        </w:rPr>
        <w:t>980</w:t>
      </w:r>
      <w:r>
        <w:rPr>
          <w:rFonts w:ascii="Arial" w:hAnsi="Arial" w:cs="Arial"/>
          <w:sz w:val="22"/>
          <w:szCs w:val="22"/>
        </w:rPr>
        <w:t>/</w:t>
      </w:r>
      <w:r w:rsidR="00845AC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-0</w:t>
      </w:r>
      <w:r w:rsidR="005314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>παρόντα  7 (επτά)  , ήτοι</w:t>
      </w:r>
    </w:p>
    <w:p w:rsidR="00141EAC" w:rsidRPr="008C19E4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8C19E4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685B01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Δημήτριος</w:t>
      </w:r>
      <w:r w:rsidRPr="008C19E4">
        <w:rPr>
          <w:rFonts w:ascii="Arial" w:hAnsi="Arial" w:cs="Arial"/>
          <w:sz w:val="22"/>
          <w:szCs w:val="22"/>
        </w:rPr>
        <w:t xml:space="preserve">-Πρόεδρος                                             </w:t>
      </w:r>
      <w:r w:rsidR="0035490D" w:rsidRPr="008C19E4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 </w:t>
      </w:r>
      <w:r w:rsidR="008C19E4" w:rsidRPr="008C19E4">
        <w:rPr>
          <w:rFonts w:ascii="Arial" w:hAnsi="Arial" w:cs="Arial"/>
          <w:sz w:val="22"/>
          <w:szCs w:val="22"/>
        </w:rPr>
        <w:t xml:space="preserve">          </w:t>
      </w:r>
      <w:r w:rsidR="00845ACF">
        <w:rPr>
          <w:rFonts w:ascii="Arial" w:hAnsi="Arial" w:cs="Arial"/>
          <w:sz w:val="22"/>
          <w:szCs w:val="22"/>
        </w:rPr>
        <w:t xml:space="preserve">        ΟΥΔΕΙΣ</w:t>
      </w:r>
      <w:r w:rsidR="008C19E4" w:rsidRPr="008C19E4">
        <w:rPr>
          <w:rFonts w:ascii="Arial" w:hAnsi="Arial" w:cs="Arial"/>
          <w:sz w:val="22"/>
          <w:szCs w:val="22"/>
        </w:rPr>
        <w:t xml:space="preserve">         </w:t>
      </w:r>
    </w:p>
    <w:p w:rsidR="00141EAC" w:rsidRPr="008C19E4" w:rsidRDefault="000623A2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845ACF">
        <w:rPr>
          <w:rFonts w:ascii="Arial" w:hAnsi="Arial" w:cs="Arial"/>
          <w:sz w:val="22"/>
          <w:szCs w:val="22"/>
        </w:rPr>
        <w:t>Τουμαράς</w:t>
      </w:r>
      <w:proofErr w:type="spellEnd"/>
      <w:r w:rsidR="00845ACF">
        <w:rPr>
          <w:rFonts w:ascii="Arial" w:hAnsi="Arial" w:cs="Arial"/>
          <w:sz w:val="22"/>
          <w:szCs w:val="22"/>
        </w:rPr>
        <w:t xml:space="preserve"> Βασίλειος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Καλλιαντάση</w:t>
      </w:r>
      <w:r w:rsidR="00531436">
        <w:rPr>
          <w:rFonts w:ascii="Arial" w:hAnsi="Arial" w:cs="Arial"/>
          <w:sz w:val="22"/>
          <w:szCs w:val="22"/>
        </w:rPr>
        <w:t>ς</w:t>
      </w:r>
      <w:proofErr w:type="spellEnd"/>
      <w:r w:rsidR="00531436">
        <w:rPr>
          <w:rFonts w:ascii="Arial" w:hAnsi="Arial" w:cs="Arial"/>
          <w:sz w:val="22"/>
          <w:szCs w:val="22"/>
        </w:rPr>
        <w:t xml:space="preserve"> </w:t>
      </w:r>
      <w:r w:rsidR="00685B01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Χρήστο</w:t>
      </w:r>
      <w:r w:rsidR="00531436">
        <w:rPr>
          <w:rFonts w:ascii="Arial" w:hAnsi="Arial" w:cs="Arial"/>
          <w:sz w:val="22"/>
          <w:szCs w:val="22"/>
        </w:rPr>
        <w:t>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</w:t>
      </w:r>
    </w:p>
    <w:p w:rsidR="000623A2" w:rsidRPr="008C19E4" w:rsidRDefault="00141EAC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r w:rsidR="000623A2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0623A2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7.Ταγκαλέγκας Ιωάννης</w:t>
      </w:r>
      <w:r w:rsidR="00141EAC" w:rsidRPr="008C19E4">
        <w:rPr>
          <w:rFonts w:ascii="Arial" w:hAnsi="Arial" w:cs="Arial"/>
          <w:sz w:val="22"/>
          <w:szCs w:val="22"/>
        </w:rPr>
        <w:t xml:space="preserve">    </w:t>
      </w:r>
    </w:p>
    <w:p w:rsidR="00141EAC" w:rsidRPr="008C19E4" w:rsidRDefault="00B91E6E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5C4E4B" w:rsidRDefault="00B376C1" w:rsidP="005C4E4B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5C4E4B">
        <w:rPr>
          <w:rFonts w:ascii="Arial" w:eastAsia="Arial" w:hAnsi="Arial" w:cs="Arial"/>
          <w:sz w:val="22"/>
          <w:szCs w:val="22"/>
        </w:rPr>
        <w:t xml:space="preserve">Στη συνεδρίαση παραβρέθηκε  και ο κύριος </w:t>
      </w:r>
      <w:proofErr w:type="spellStart"/>
      <w:r w:rsidR="005C4E4B">
        <w:rPr>
          <w:rFonts w:ascii="Arial" w:hAnsi="Arial" w:cs="Arial"/>
          <w:sz w:val="22"/>
          <w:szCs w:val="22"/>
        </w:rPr>
        <w:t>Αρκουμάνης</w:t>
      </w:r>
      <w:proofErr w:type="spellEnd"/>
      <w:r w:rsidR="005C4E4B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</w:p>
    <w:p w:rsidR="00B925C3" w:rsidRPr="001D029A" w:rsidRDefault="00092153" w:rsidP="001D029A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Pr="008C19E4">
        <w:rPr>
          <w:rFonts w:eastAsia="Arial"/>
          <w:sz w:val="22"/>
          <w:szCs w:val="22"/>
        </w:rPr>
        <w:t xml:space="preserve"> 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8D5888">
        <w:rPr>
          <w:rFonts w:ascii="Arial" w:eastAsia="Arial" w:hAnsi="Arial" w:cs="Arial"/>
          <w:sz w:val="22"/>
          <w:szCs w:val="22"/>
        </w:rPr>
        <w:t>1</w:t>
      </w:r>
      <w:r w:rsidR="000C0BED" w:rsidRPr="001D029A">
        <w:rPr>
          <w:rFonts w:ascii="Arial" w:eastAsia="Arial" w:hAnsi="Arial" w:cs="Arial"/>
          <w:sz w:val="22"/>
          <w:szCs w:val="22"/>
        </w:rPr>
        <w:t>4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</w:t>
      </w:r>
      <w:r w:rsidR="00685B01">
        <w:rPr>
          <w:rFonts w:ascii="Arial" w:eastAsia="Arial" w:hAnsi="Arial" w:cs="Arial"/>
          <w:sz w:val="22"/>
          <w:szCs w:val="22"/>
        </w:rPr>
        <w:t>υ</w:t>
      </w:r>
      <w:r w:rsidR="00B925C3">
        <w:rPr>
          <w:rFonts w:ascii="Arial" w:eastAsia="Arial" w:hAnsi="Arial" w:cs="Arial"/>
          <w:sz w:val="22"/>
          <w:szCs w:val="22"/>
        </w:rPr>
        <w:t xml:space="preserve">πόψη των μελών </w:t>
      </w:r>
      <w:r w:rsidR="00293653">
        <w:rPr>
          <w:rFonts w:ascii="Arial" w:eastAsia="Arial" w:hAnsi="Arial" w:cs="Arial"/>
          <w:sz w:val="22"/>
          <w:szCs w:val="22"/>
        </w:rPr>
        <w:t xml:space="preserve">την με </w:t>
      </w:r>
      <w:proofErr w:type="spellStart"/>
      <w:r w:rsidR="00293653">
        <w:rPr>
          <w:rFonts w:ascii="Arial" w:eastAsia="Arial" w:hAnsi="Arial" w:cs="Arial"/>
          <w:sz w:val="22"/>
          <w:szCs w:val="22"/>
        </w:rPr>
        <w:t>αριθ.πρωτ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. 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1D029A" w:rsidRPr="001D029A">
        <w:rPr>
          <w:rFonts w:ascii="Arial" w:eastAsia="Arial" w:hAnsi="Arial" w:cs="Arial"/>
          <w:sz w:val="22"/>
          <w:szCs w:val="22"/>
        </w:rPr>
        <w:t>976</w:t>
      </w:r>
      <w:r w:rsidR="00293653">
        <w:rPr>
          <w:rFonts w:ascii="Arial" w:eastAsia="Arial" w:hAnsi="Arial" w:cs="Arial"/>
          <w:sz w:val="22"/>
          <w:szCs w:val="22"/>
        </w:rPr>
        <w:t>/</w:t>
      </w:r>
      <w:r w:rsidR="001D029A" w:rsidRPr="001D029A">
        <w:rPr>
          <w:rFonts w:ascii="Arial" w:eastAsia="Arial" w:hAnsi="Arial" w:cs="Arial"/>
          <w:sz w:val="22"/>
          <w:szCs w:val="22"/>
        </w:rPr>
        <w:t>17</w:t>
      </w:r>
      <w:r w:rsidR="00845ACF">
        <w:rPr>
          <w:rFonts w:ascii="Arial" w:eastAsia="Arial" w:hAnsi="Arial" w:cs="Arial"/>
          <w:sz w:val="22"/>
          <w:szCs w:val="22"/>
        </w:rPr>
        <w:t>-</w:t>
      </w:r>
      <w:r w:rsidR="00293653">
        <w:rPr>
          <w:rFonts w:ascii="Arial" w:eastAsia="Arial" w:hAnsi="Arial" w:cs="Arial"/>
          <w:sz w:val="22"/>
          <w:szCs w:val="22"/>
        </w:rPr>
        <w:t>0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293653">
        <w:rPr>
          <w:rFonts w:ascii="Arial" w:eastAsia="Arial" w:hAnsi="Arial" w:cs="Arial"/>
          <w:sz w:val="22"/>
          <w:szCs w:val="22"/>
        </w:rPr>
        <w:t xml:space="preserve">-2024 </w:t>
      </w:r>
      <w:r w:rsidR="00B925C3">
        <w:rPr>
          <w:rFonts w:ascii="Arial" w:eastAsia="Arial" w:hAnsi="Arial" w:cs="Arial"/>
          <w:sz w:val="22"/>
          <w:szCs w:val="22"/>
        </w:rPr>
        <w:t xml:space="preserve">εισήγηση </w:t>
      </w:r>
      <w:r w:rsidR="008D5888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8D5888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8D5888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1D029A">
        <w:rPr>
          <w:rFonts w:ascii="Arial" w:eastAsia="Arial" w:hAnsi="Arial" w:cs="Arial"/>
          <w:sz w:val="22"/>
          <w:szCs w:val="22"/>
        </w:rPr>
        <w:t xml:space="preserve"> </w:t>
      </w:r>
      <w:r w:rsidR="008D5888">
        <w:rPr>
          <w:rFonts w:ascii="Arial" w:eastAsia="Arial" w:hAnsi="Arial" w:cs="Arial"/>
          <w:sz w:val="22"/>
          <w:szCs w:val="22"/>
        </w:rPr>
        <w:t xml:space="preserve"> τ</w:t>
      </w:r>
      <w:r w:rsidR="00B925C3">
        <w:rPr>
          <w:rFonts w:ascii="Arial" w:eastAsia="Arial" w:hAnsi="Arial" w:cs="Arial"/>
          <w:sz w:val="22"/>
          <w:szCs w:val="22"/>
        </w:rPr>
        <w:t xml:space="preserve">ου Δήμου </w:t>
      </w:r>
      <w:r w:rsidR="0029365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925C3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 </w:t>
      </w:r>
      <w:r w:rsidR="00B925C3">
        <w:rPr>
          <w:rFonts w:ascii="Arial" w:eastAsia="Arial" w:hAnsi="Arial" w:cs="Arial"/>
          <w:sz w:val="22"/>
          <w:szCs w:val="22"/>
        </w:rPr>
        <w:t>στην οποία αναφέρονται:</w:t>
      </w:r>
    </w:p>
    <w:p w:rsidR="001D029A" w:rsidRPr="001D029A" w:rsidRDefault="001D029A" w:rsidP="001D029A">
      <w:pPr>
        <w:pStyle w:val="3"/>
        <w:spacing w:after="200" w:line="276" w:lineRule="auto"/>
        <w:ind w:left="720" w:hanging="72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Ιστορικό – Πληροφοριακά στοιχεία</w:t>
      </w:r>
    </w:p>
    <w:p w:rsidR="001D029A" w:rsidRPr="001D029A" w:rsidRDefault="001D029A" w:rsidP="001D029A">
      <w:pPr>
        <w:pStyle w:val="af9"/>
        <w:numPr>
          <w:ilvl w:val="0"/>
          <w:numId w:val="16"/>
        </w:numPr>
        <w:suppressAutoHyphens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Το εν λόγο έργο χρηματοδοτείται από το ΠΔΕ του Υπ Εσωτερικών με το ποσόν των 289.000,00 € από την ΣΑΕ 055 με κωδικό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ενάριθμο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2017ΣΕ05500005 .</w:t>
      </w:r>
    </w:p>
    <w:p w:rsidR="001D029A" w:rsidRPr="001D029A" w:rsidRDefault="001D029A" w:rsidP="001D029A">
      <w:pPr>
        <w:pStyle w:val="af9"/>
        <w:numPr>
          <w:ilvl w:val="0"/>
          <w:numId w:val="16"/>
        </w:numPr>
        <w:suppressAutoHyphens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Η με αρ. 85/2018 Τεχνική Μελέτη δημοπράτησης του εν λόγω έργου προϋπολογισμού  289.000,00€ συντάχθηκε από την Τεχνική Υπηρεσία του Δήμου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>.</w:t>
      </w:r>
    </w:p>
    <w:p w:rsidR="001D029A" w:rsidRPr="001D029A" w:rsidRDefault="001D029A" w:rsidP="001D029A">
      <w:pPr>
        <w:pStyle w:val="af9"/>
        <w:numPr>
          <w:ilvl w:val="0"/>
          <w:numId w:val="16"/>
        </w:numPr>
        <w:suppressAutoHyphens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Με την με αριθμό 109/2019 Απόφαση του Δημοτικού Συμβουλίου του Δήμου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,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εγινε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αποδοχή  της εν λόγω τεχνικής μελέτης προϋπολογισμού 289.000,00 €  συμπεριλαμβανομένου και του ΦΠΑ .</w:t>
      </w:r>
    </w:p>
    <w:p w:rsidR="001D029A" w:rsidRPr="001D029A" w:rsidRDefault="001D029A" w:rsidP="001D029A">
      <w:pPr>
        <w:pStyle w:val="af9"/>
        <w:numPr>
          <w:ilvl w:val="0"/>
          <w:numId w:val="16"/>
        </w:numPr>
        <w:suppressAutoHyphens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Τον ΚΑ 60/7311.001 με τίτλο  «ΠΑΡΕΜΒΑΣΕΙΣ ΓΙΑ ΠΡΟΣΑΡΜΟΓΗ ΛΕΙΤΟΥΡΓΟΥΝΤΩΝ ΕΞΙ (6) ΔΗΜΟΤΙΚΩΝ ΒΡΕΦΙΚΩΝ ΠΑΙΔΙΚΩΝ ΚΑΙ ΒΡΕΦΟΝΗΠΙΑΚΩΝ ΣΤΑΘΜΩΝ ΣΤΙΣ ΠΡΟΔΙΑΓΡΑΦΕΣ ΤΟΥΣ ΝΕΟΥ ΘΕΣΜΙΚΟΥ ΠΛΑΙΣΙΟΥ ΑΔΕΙΟΔΟΤΗΣΗΣ ΣΥΜΦΩΝΑ ΜΕ </w:t>
      </w:r>
      <w:r w:rsidRPr="001D029A">
        <w:rPr>
          <w:rFonts w:ascii="Arial" w:hAnsi="Arial" w:cs="Arial"/>
          <w:i/>
          <w:sz w:val="22"/>
          <w:szCs w:val="22"/>
        </w:rPr>
        <w:lastRenderedPageBreak/>
        <w:t xml:space="preserve">ΤΙΣ ΔΙΑΤΑΞΕΙΣ ΤΟΥ Π.Δ 99/2017» του προϋπολογισμού εσόδων – εξόδων του Δήμου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Οικονομικού έτους 2022 που είναι εγγεγραμμένο το έργο</w:t>
      </w:r>
    </w:p>
    <w:p w:rsidR="001D029A" w:rsidRPr="001D029A" w:rsidRDefault="001D029A" w:rsidP="001D029A">
      <w:pPr>
        <w:pStyle w:val="af9"/>
        <w:numPr>
          <w:ilvl w:val="0"/>
          <w:numId w:val="16"/>
        </w:numPr>
        <w:suppressAutoHyphens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Με την με αρ. 236/2022 Απόφαση της Οικονομικής Επιτροπής του Δήμου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περί έγκρισης διενέργειας ηλεκτρονικού διαγωνισμού και κατάρτιση όρων διακήρυξης σύναψης Δημόσιας σύμβασης του Έργου. </w:t>
      </w:r>
    </w:p>
    <w:p w:rsidR="001D029A" w:rsidRPr="001D029A" w:rsidRDefault="001D029A" w:rsidP="001D029A">
      <w:pPr>
        <w:pStyle w:val="af9"/>
        <w:numPr>
          <w:ilvl w:val="0"/>
          <w:numId w:val="16"/>
        </w:numPr>
        <w:suppressAutoHyphens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Την με αριθμό 125/22 απόφαση της Οικονομικής Επιτροπής του Δήμου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με την οποία εγκρίθηκε το πρακτικό 1 της ηλεκτρονικής δημοπρασίας με Α/Α ΕΣΗΔΗΣ 187825 του έργου του θέματος  η οποία γνωστοποιήθηκε στους συμμετέχοντας με την με αριθμό 7477/22 επιστολή</w:t>
      </w:r>
    </w:p>
    <w:p w:rsidR="001D029A" w:rsidRPr="001D029A" w:rsidRDefault="001D029A" w:rsidP="001D029A">
      <w:pPr>
        <w:pStyle w:val="af9"/>
        <w:numPr>
          <w:ilvl w:val="0"/>
          <w:numId w:val="16"/>
        </w:numPr>
        <w:suppressAutoHyphens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Με την με αρ. 179/22 (ΑΔΑ: Ψ5ΛΟΩΛΗ-ΦΔΛ)  απόφαση της Οικονομικής Επιτροπής του Δήμου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, εγκρίθηκε το  Πρακτικό του Διαγωνισμού του έργου καθώς επίσης και με το αρ. 113097/04.07.22  έγγραφο της Αποκεντρωμένης Διοίκησης με το οποίο ελέγχθηκε η νομιμότητα της παραπάνω απόφασης.   </w:t>
      </w:r>
    </w:p>
    <w:p w:rsidR="001D029A" w:rsidRPr="001D029A" w:rsidRDefault="001D029A" w:rsidP="001D029A">
      <w:pPr>
        <w:pStyle w:val="af9"/>
        <w:numPr>
          <w:ilvl w:val="0"/>
          <w:numId w:val="16"/>
        </w:numPr>
        <w:suppressAutoHyphens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Στις 26.07.22 υπογράφτηκε το εργολαβικό συμφωνητικό για την κατασκευή του υπόψη έργου, μεταξύ του Δημάρχου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  και του Θεοφάνους Μελά ενεργώντας με την ιδιότητα του εκπροσώπου της ΦΩΤΟΝΙΟ ΕΝΕΡΓΕΙΑΚΗ ΜΕΠΕ . για ποσό  220.498,64 €  με ΦΠΑ το οποίο αναλύεται όπως παρακάτω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Ind w:w="675" w:type="dxa"/>
        <w:tblLook w:val="04A0"/>
      </w:tblPr>
      <w:tblGrid>
        <w:gridCol w:w="2552"/>
        <w:gridCol w:w="1417"/>
      </w:tblGrid>
      <w:tr w:rsidR="001D029A" w:rsidRPr="001D029A" w:rsidTr="00742CE4">
        <w:tc>
          <w:tcPr>
            <w:tcW w:w="2552" w:type="dxa"/>
          </w:tcPr>
          <w:p w:rsidR="001D029A" w:rsidRPr="001D029A" w:rsidRDefault="001D029A" w:rsidP="00742CE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Δαπάνη εργασιών</w:t>
            </w:r>
          </w:p>
        </w:tc>
        <w:tc>
          <w:tcPr>
            <w:tcW w:w="1417" w:type="dxa"/>
          </w:tcPr>
          <w:p w:rsidR="001D029A" w:rsidRPr="001D029A" w:rsidRDefault="001D029A" w:rsidP="00742CE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126.981,77</w:t>
            </w:r>
          </w:p>
        </w:tc>
      </w:tr>
      <w:tr w:rsidR="001D029A" w:rsidRPr="001D029A" w:rsidTr="00742CE4">
        <w:tc>
          <w:tcPr>
            <w:tcW w:w="2552" w:type="dxa"/>
          </w:tcPr>
          <w:p w:rsidR="001D029A" w:rsidRPr="001D029A" w:rsidRDefault="001D029A" w:rsidP="00742CE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ΓΕ &amp; ΟΕ</w:t>
            </w:r>
          </w:p>
        </w:tc>
        <w:tc>
          <w:tcPr>
            <w:tcW w:w="1417" w:type="dxa"/>
          </w:tcPr>
          <w:p w:rsidR="001D029A" w:rsidRPr="001D029A" w:rsidRDefault="001D029A" w:rsidP="00742CE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22.856,72</w:t>
            </w:r>
          </w:p>
        </w:tc>
      </w:tr>
      <w:tr w:rsidR="001D029A" w:rsidRPr="001D029A" w:rsidTr="00742CE4">
        <w:tc>
          <w:tcPr>
            <w:tcW w:w="2552" w:type="dxa"/>
          </w:tcPr>
          <w:p w:rsidR="001D029A" w:rsidRPr="001D029A" w:rsidRDefault="001D029A" w:rsidP="00742CE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Μερικό σύνολο</w:t>
            </w:r>
          </w:p>
        </w:tc>
        <w:tc>
          <w:tcPr>
            <w:tcW w:w="1417" w:type="dxa"/>
          </w:tcPr>
          <w:p w:rsidR="001D029A" w:rsidRPr="001D029A" w:rsidRDefault="001D029A" w:rsidP="00742CE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149.836,49</w:t>
            </w:r>
          </w:p>
        </w:tc>
      </w:tr>
      <w:tr w:rsidR="001D029A" w:rsidRPr="001D029A" w:rsidTr="00742CE4">
        <w:tc>
          <w:tcPr>
            <w:tcW w:w="2552" w:type="dxa"/>
          </w:tcPr>
          <w:p w:rsidR="001D029A" w:rsidRPr="001D029A" w:rsidRDefault="001D029A" w:rsidP="00742CE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Απρόβλεπτα</w:t>
            </w:r>
          </w:p>
        </w:tc>
        <w:tc>
          <w:tcPr>
            <w:tcW w:w="1417" w:type="dxa"/>
          </w:tcPr>
          <w:p w:rsidR="001D029A" w:rsidRPr="001D029A" w:rsidRDefault="001D029A" w:rsidP="00742CE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22.475,77</w:t>
            </w:r>
          </w:p>
        </w:tc>
      </w:tr>
      <w:tr w:rsidR="001D029A" w:rsidRPr="001D029A" w:rsidTr="00742CE4">
        <w:tc>
          <w:tcPr>
            <w:tcW w:w="2552" w:type="dxa"/>
          </w:tcPr>
          <w:p w:rsidR="001D029A" w:rsidRPr="001D029A" w:rsidRDefault="001D029A" w:rsidP="00742CE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Απολογιστικές Εργασίες</w:t>
            </w:r>
          </w:p>
        </w:tc>
        <w:tc>
          <w:tcPr>
            <w:tcW w:w="1417" w:type="dxa"/>
          </w:tcPr>
          <w:p w:rsidR="001D029A" w:rsidRPr="001D029A" w:rsidRDefault="001D029A" w:rsidP="00742CE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2.885,22</w:t>
            </w:r>
          </w:p>
        </w:tc>
      </w:tr>
      <w:tr w:rsidR="001D029A" w:rsidRPr="001D029A" w:rsidTr="00742CE4">
        <w:tc>
          <w:tcPr>
            <w:tcW w:w="2552" w:type="dxa"/>
          </w:tcPr>
          <w:p w:rsidR="001D029A" w:rsidRPr="001D029A" w:rsidRDefault="001D029A" w:rsidP="00742CE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Αναθεώρηση</w:t>
            </w:r>
          </w:p>
        </w:tc>
        <w:tc>
          <w:tcPr>
            <w:tcW w:w="1417" w:type="dxa"/>
          </w:tcPr>
          <w:p w:rsidR="001D029A" w:rsidRPr="001D029A" w:rsidRDefault="001D029A" w:rsidP="00742CE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2.622,00</w:t>
            </w:r>
          </w:p>
        </w:tc>
      </w:tr>
      <w:tr w:rsidR="001D029A" w:rsidRPr="001D029A" w:rsidTr="00742CE4">
        <w:tc>
          <w:tcPr>
            <w:tcW w:w="2552" w:type="dxa"/>
          </w:tcPr>
          <w:p w:rsidR="001D029A" w:rsidRPr="001D029A" w:rsidRDefault="001D029A" w:rsidP="00742CE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Δαπάνη ΦΠΑ</w:t>
            </w:r>
          </w:p>
        </w:tc>
        <w:tc>
          <w:tcPr>
            <w:tcW w:w="1417" w:type="dxa"/>
          </w:tcPr>
          <w:p w:rsidR="001D029A" w:rsidRPr="001D029A" w:rsidRDefault="001D029A" w:rsidP="00742CE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D029A">
              <w:rPr>
                <w:rFonts w:ascii="Arial" w:hAnsi="Arial" w:cs="Arial"/>
                <w:i/>
                <w:sz w:val="22"/>
                <w:szCs w:val="22"/>
              </w:rPr>
              <w:t>42.677,16</w:t>
            </w:r>
          </w:p>
        </w:tc>
      </w:tr>
      <w:tr w:rsidR="001D029A" w:rsidRPr="001D029A" w:rsidTr="00742CE4">
        <w:tc>
          <w:tcPr>
            <w:tcW w:w="2552" w:type="dxa"/>
          </w:tcPr>
          <w:p w:rsidR="001D029A" w:rsidRPr="001D029A" w:rsidRDefault="001D029A" w:rsidP="00742CE4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D029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Γενικό σύνολο</w:t>
            </w:r>
          </w:p>
        </w:tc>
        <w:tc>
          <w:tcPr>
            <w:tcW w:w="1417" w:type="dxa"/>
          </w:tcPr>
          <w:p w:rsidR="001D029A" w:rsidRPr="001D029A" w:rsidRDefault="001D029A" w:rsidP="00742CE4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D029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220.498,64</w:t>
            </w:r>
          </w:p>
        </w:tc>
      </w:tr>
    </w:tbl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Η προθεσμία κατασκευής του έργου, σύμφωνα την Ε.Σ.Υ. και την υπογραφείσα σύμβαση, είναι 8 μήνες από την ημερομηνία υπογραφής της σύμβασης και το έργο έχει τελειώσει εμπρόθεσμα.</w:t>
      </w:r>
    </w:p>
    <w:p w:rsidR="001D029A" w:rsidRPr="001D029A" w:rsidRDefault="001D029A" w:rsidP="001D029A">
      <w:pPr>
        <w:rPr>
          <w:rFonts w:ascii="Arial" w:hAnsi="Arial" w:cs="Arial"/>
          <w:b/>
          <w:i/>
          <w:sz w:val="22"/>
          <w:szCs w:val="22"/>
        </w:rPr>
      </w:pPr>
      <w:r w:rsidRPr="001D029A">
        <w:rPr>
          <w:rFonts w:ascii="Arial" w:hAnsi="Arial" w:cs="Arial"/>
          <w:b/>
          <w:i/>
          <w:sz w:val="22"/>
          <w:szCs w:val="22"/>
        </w:rPr>
        <w:t>Σύντομη περιγραφή του έργου – Περιγραφή φυσικού αντικειμένου</w:t>
      </w:r>
    </w:p>
    <w:p w:rsidR="001D029A" w:rsidRPr="001D029A" w:rsidRDefault="001D029A" w:rsidP="001D029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     Αντικείμενο της παρούσας εργολαβίας είναι οι παρεμβάσεις στους βρεφικούς και βρεφονηπιακούς σταθμούς για την προσαρμογή των  στις διατάξεις του Π.Δ 99/2017 </w:t>
      </w:r>
    </w:p>
    <w:p w:rsidR="001D029A" w:rsidRPr="001D029A" w:rsidRDefault="001D029A" w:rsidP="001D029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Συγκεκριμένα θα πραγματοποιηθούν εργασίες στους κάτωθι παιδικούς και Β/Ν σταθμούς:</w:t>
      </w:r>
    </w:p>
    <w:p w:rsidR="001D029A" w:rsidRPr="001D029A" w:rsidRDefault="001D029A" w:rsidP="001D029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1. Α΄ Β/Ν Σταθμός Λιβαδειάς</w:t>
      </w:r>
    </w:p>
    <w:p w:rsidR="001D029A" w:rsidRPr="001D029A" w:rsidRDefault="001D029A" w:rsidP="001D029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2. Β΄ Β/Ν Σταθμός Λιβαδειάς</w:t>
      </w:r>
    </w:p>
    <w:p w:rsidR="001D029A" w:rsidRPr="001D029A" w:rsidRDefault="001D029A" w:rsidP="001D029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3. Α΄ Παιδικός Σταθμός Λιβαδειάς</w:t>
      </w:r>
    </w:p>
    <w:p w:rsidR="001D029A" w:rsidRPr="001D029A" w:rsidRDefault="001D029A" w:rsidP="001D029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4. Β΄ Παιδικός Σταθμός Λιβαδειάς</w:t>
      </w:r>
    </w:p>
    <w:p w:rsidR="001D029A" w:rsidRPr="001D029A" w:rsidRDefault="001D029A" w:rsidP="001D029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5. Παιδικός Σταθμός Αγ. Γεωργίου</w:t>
      </w:r>
    </w:p>
    <w:p w:rsidR="001D029A" w:rsidRPr="001D029A" w:rsidRDefault="001D029A" w:rsidP="001D029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6. Παιδικός Σταθμός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Κυριακίου</w:t>
      </w:r>
      <w:proofErr w:type="spellEnd"/>
    </w:p>
    <w:p w:rsidR="001D029A" w:rsidRPr="001D029A" w:rsidRDefault="001D029A" w:rsidP="001D029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D029A" w:rsidRPr="001D029A" w:rsidRDefault="001D029A" w:rsidP="001D029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Οι εργασίες αυτές είναι:</w:t>
      </w:r>
    </w:p>
    <w:p w:rsidR="001D029A" w:rsidRPr="001D029A" w:rsidRDefault="001D029A" w:rsidP="001D029A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</w:rPr>
      </w:pPr>
      <w:r w:rsidRPr="001D029A">
        <w:rPr>
          <w:rFonts w:ascii="Arial" w:hAnsi="Arial" w:cs="Arial"/>
          <w:b/>
          <w:i/>
          <w:sz w:val="22"/>
          <w:szCs w:val="22"/>
          <w:u w:val="single"/>
        </w:rPr>
        <w:t>ΟΙΚΟΔΟΜΙΚΑ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Εξάλειψη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ανισοσταθμιών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εντός των κτιρίων όπου απαιτείται.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Όπου υπάρχουν σκάλες τοποθετούνται ασφαλή κιγκλιδώματα και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επιστρώνονται με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αντιολισθηρές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ταινίες.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Προστατεύονται οι τζαμαρίες με ξύλινα κάγκελα με ανοίγματα μικρότερα των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12εκ. καθώς και τροποποιούνται παράθυρα σε κατάλληλο ύψος και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τοποθετείται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σίτα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>.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Επιστρώνονται οι χώροι παραμονής των νηπίων όπου απαιτείται με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βιομηχανικό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αντιολισθηρό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δάπεδο και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ηχοαπορροφητικό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που καθαρίζεται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εύκολα.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Στους υπαίθριους και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ημιυπαίθριους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χώρους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προαυλισμού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δημιουργούνται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χώροι περιφραγμένοι με  κάγκελα με ανοίγματα μικρότερα των 12εκ για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τον διαχωρισμό των νηπίων και βρεφών και επιστρώνονται με ελαστικά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lastRenderedPageBreak/>
        <w:t>πλακίδια ασφαλείας σύμφωνα με ΕΛΟΤ.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Οι υπαίθριοι χώροι στις εισόδους των σταθμών επιστρώνονται με πλάκες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πεζοδρομίου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αντιολισθηρές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όπου απαιτείται και ασφαλίζονται τυχόν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καταπακτές και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ανισοσταθμίες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>.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Ανακατασκευάζονται χώροι υγιεινής και χώροι εστίασης και όπου απαιτείται η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εξάλειψη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ανισοσταθμίας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>.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Τοποθετούνται επίσης νέες πόρτες εσωτερικά χωρίς τζαμαρίες.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</w:rPr>
      </w:pPr>
      <w:r w:rsidRPr="001D029A">
        <w:rPr>
          <w:rFonts w:ascii="Arial" w:hAnsi="Arial" w:cs="Arial"/>
          <w:b/>
          <w:i/>
          <w:sz w:val="22"/>
          <w:szCs w:val="22"/>
          <w:u w:val="single"/>
        </w:rPr>
        <w:t>Η/Μ ΕΡΓΑΣΙΕΣ</w:t>
      </w:r>
    </w:p>
    <w:p w:rsidR="001D029A" w:rsidRPr="001D029A" w:rsidRDefault="001D029A" w:rsidP="001D029A">
      <w:pPr>
        <w:pStyle w:val="af9"/>
        <w:rPr>
          <w:rFonts w:ascii="Arial" w:hAnsi="Arial" w:cs="Arial"/>
          <w:i/>
          <w:sz w:val="22"/>
          <w:szCs w:val="22"/>
        </w:rPr>
      </w:pP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Τοποθετούνται θερμοστατικοί διακόπτες στα θερμαντικά σώματα για τον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έλεγχο της θερμοκρασίας.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Τοποθετούνται νέα κλιματιστικά για την μερική κάλυψη των ψυκτικών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φορτίων.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Τοποθετείται νέο σύστημα λέβητα – καυστήρα με τεχνολογία συμπύκνωσης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ισχύος 150KW στη θέση πεπαλαιωμένου - μη ασφαλούς.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Μετατοπίζονται υδραυλικά δίκτυα θέρμανσης και καλύπτονται τα σώματα με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ασφαλή καλύμματα με στρογγυλεμένες γωνίες.</w:t>
      </w:r>
    </w:p>
    <w:p w:rsidR="001D029A" w:rsidRPr="001D029A" w:rsidRDefault="001D029A" w:rsidP="001D029A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Αντικατάσταση φθαρμένων και επικίνδυνων φωτιστικών σωμάτων με νέας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τεχνολογίας LED όπου αυτό απαιτείται.</w:t>
      </w:r>
    </w:p>
    <w:p w:rsidR="001D029A" w:rsidRPr="001D029A" w:rsidRDefault="001D029A" w:rsidP="001D029A">
      <w:pPr>
        <w:pStyle w:val="af9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</w:p>
    <w:p w:rsidR="001D029A" w:rsidRPr="001D029A" w:rsidRDefault="001D029A" w:rsidP="001D029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D029A">
        <w:rPr>
          <w:rFonts w:ascii="Arial" w:hAnsi="Arial" w:cs="Arial"/>
          <w:b/>
          <w:i/>
          <w:sz w:val="22"/>
          <w:szCs w:val="22"/>
          <w:u w:val="single"/>
        </w:rPr>
        <w:t>ΑΙΤΙΟΛΟΓΗΣΗ ΤΟΥ 1</w:t>
      </w:r>
      <w:r w:rsidRPr="001D029A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ος</w:t>
      </w:r>
      <w:r w:rsidRPr="001D029A">
        <w:rPr>
          <w:rFonts w:ascii="Arial" w:hAnsi="Arial" w:cs="Arial"/>
          <w:b/>
          <w:i/>
          <w:sz w:val="22"/>
          <w:szCs w:val="22"/>
          <w:u w:val="single"/>
        </w:rPr>
        <w:t xml:space="preserve"> ΑΝΑΚΕΦΑΛΑΙΩΤΙΚΟΥ ΠΙΝΑΚΑ ΕΡΓΑΣΙΩΝ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  Ο  1ος Ανακεφαλαιωτικός Πίνακας Εργασιών συντάχθηκε σε ισοζύγιο με το ποσό της σύμβασης , δηλαδή είναι συνολικής δαπάνης 220.498,64 € εκ των οποίων 177.821,48 € για εργασίες και 42.677,16 € για ΦΠΑ 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     Η σύνταξή του κατέστη αναγκαία προκειμένου να συμπεριλάβει τις αυξομειώσεις των συμβατικών εργασιών όπως αυτές επιμετρήθηκαν  και τις νέες εργασίες που εκτελέστηκαν σύμφωνα με το με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</w:t>
      </w:r>
      <w:r w:rsidRPr="001D029A">
        <w:rPr>
          <w:rFonts w:ascii="Arial" w:hAnsi="Arial" w:cs="Arial"/>
          <w:b/>
          <w:i/>
          <w:sz w:val="22"/>
          <w:szCs w:val="22"/>
        </w:rPr>
        <w:t>22437/14.12.22</w:t>
      </w:r>
      <w:r w:rsidRPr="001D029A">
        <w:rPr>
          <w:rFonts w:ascii="Arial" w:hAnsi="Arial" w:cs="Arial"/>
          <w:i/>
          <w:sz w:val="22"/>
          <w:szCs w:val="22"/>
        </w:rPr>
        <w:t xml:space="preserve"> έγγραφο της επιβλέπουσας υπηρεσία για εντολή εκτέλεσης νέων εργασιών που κρίθηκαν απαραίτητες για την άρτια</w:t>
      </w:r>
      <w:bookmarkStart w:id="0" w:name="_GoBack"/>
      <w:bookmarkEnd w:id="0"/>
      <w:r w:rsidRPr="001D029A">
        <w:rPr>
          <w:rFonts w:ascii="Arial" w:hAnsi="Arial" w:cs="Arial"/>
          <w:i/>
          <w:sz w:val="22"/>
          <w:szCs w:val="22"/>
        </w:rPr>
        <w:t xml:space="preserve"> ολοκλήρωση του έργου και δε συμπεριλαμβάνονται στην μελέτη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</w:p>
    <w:p w:rsidR="001D029A" w:rsidRPr="001D029A" w:rsidRDefault="001D029A" w:rsidP="001D029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D029A">
        <w:rPr>
          <w:rFonts w:ascii="Arial" w:hAnsi="Arial" w:cs="Arial"/>
          <w:b/>
          <w:i/>
          <w:sz w:val="22"/>
          <w:szCs w:val="22"/>
          <w:u w:val="single"/>
        </w:rPr>
        <w:t>ΑΙΤΙΟΛΟΓΗΣΗ ΤΟΥ  2</w:t>
      </w:r>
      <w:r w:rsidRPr="001D029A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ου</w:t>
      </w:r>
      <w:r w:rsidRPr="001D029A">
        <w:rPr>
          <w:rFonts w:ascii="Arial" w:hAnsi="Arial" w:cs="Arial"/>
          <w:b/>
          <w:i/>
          <w:sz w:val="22"/>
          <w:szCs w:val="22"/>
          <w:u w:val="single"/>
        </w:rPr>
        <w:t xml:space="preserve">  ΑΝΑΚΕΦΑΛΑΙΩΤΙΚΟΥ ΠΙΝΑΚΑ ΕΡΓΑΣΙΩΝ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Ο παρόν 2ος Ανακεφαλαιωτικός Πίνακας Εργασιών συντάχθηκε σε ισοζύγιο με το ποσό της σύμβασης , δηλαδή είναι συνολικής δαπάνης 220.498,64 € εκ των οποίων 177.821,48 € για εργασίες και 42.677,16 € για ΦΠΑ 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     Η σύνταξή του κατέστη αναγκαία προκειμένου να συμπεριλάβει τις αυξομειώσεις των συμβατικών και των νέων εργασιών όπως αυτές επιμετρήθηκαν με την τελική επιμέτρηση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 Έχουμε κατά κεφάλαιο τις παρακάτω ποσοστιαίες αυξομειώσεις </w:t>
      </w:r>
    </w:p>
    <w:p w:rsidR="001D029A" w:rsidRPr="001D029A" w:rsidRDefault="001D029A" w:rsidP="001D029A">
      <w:pPr>
        <w:rPr>
          <w:rFonts w:ascii="Arial" w:hAnsi="Arial" w:cs="Arial"/>
          <w:b/>
          <w:i/>
          <w:sz w:val="22"/>
          <w:szCs w:val="22"/>
        </w:rPr>
      </w:pPr>
      <w:r w:rsidRPr="001D029A">
        <w:rPr>
          <w:rFonts w:ascii="Arial" w:hAnsi="Arial" w:cs="Arial"/>
          <w:b/>
          <w:i/>
          <w:sz w:val="22"/>
          <w:szCs w:val="22"/>
        </w:rPr>
        <w:t xml:space="preserve">Κεφάλαιο: ΚΑΘΑΙΡΕΣΕΙΣ 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    (Σημείωση: Τα συγκριτικά στοιχεία είναι μεταξύ της αρχικής σύμβασης και του 2</w:t>
      </w:r>
      <w:r w:rsidRPr="001D029A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1D029A">
        <w:rPr>
          <w:rFonts w:ascii="Arial" w:hAnsi="Arial" w:cs="Arial"/>
          <w:i/>
          <w:sz w:val="22"/>
          <w:szCs w:val="22"/>
        </w:rPr>
        <w:t xml:space="preserve"> ΑΠΕ)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   Στο κεφάλαιο των καθαιρέσεων παρουσιάζεται αύξηση του συμβατικού αντικειμένου της μελέτης  κατά 373,35 €  (17,04%)  και οφείλεται κατά κύριο λόγο στις αυξομειώσεις των συμβατικών ποσοτήτων  </w:t>
      </w:r>
    </w:p>
    <w:p w:rsidR="001D029A" w:rsidRPr="001D029A" w:rsidRDefault="001D029A" w:rsidP="001D029A">
      <w:pPr>
        <w:rPr>
          <w:rFonts w:ascii="Arial" w:hAnsi="Arial" w:cs="Arial"/>
          <w:b/>
          <w:i/>
          <w:sz w:val="22"/>
          <w:szCs w:val="22"/>
        </w:rPr>
      </w:pPr>
      <w:r w:rsidRPr="001D029A">
        <w:rPr>
          <w:rFonts w:ascii="Arial" w:hAnsi="Arial" w:cs="Arial"/>
          <w:b/>
          <w:i/>
          <w:sz w:val="22"/>
          <w:szCs w:val="22"/>
        </w:rPr>
        <w:t>Κεφάλαιο : ΤΕΧΝΙΚΕΣ ΕΡΓΑΣΙΕΣ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Στο κεφάλαιο αυτό παρουσιάζεται αύξηση κατά 7.439,05 € (18,41%) και οφείλεται  στις αυξομειώσεις των συμβατικών ποσοτήτων  και στις νέες εργασίες  που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καταστήσαν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αναγκαίες να εκτελεσθούν για την άρτια ολοκλήρωση του έργου όπως αυτές αναφέρονται στην εν λόγω ομάδα του ΑΠΕ και αιτιολογούνται και στην αύξηση των συμβατικών εργασιών</w:t>
      </w:r>
    </w:p>
    <w:p w:rsidR="001D029A" w:rsidRPr="001D029A" w:rsidRDefault="001D029A" w:rsidP="001D029A">
      <w:pPr>
        <w:rPr>
          <w:rFonts w:ascii="Arial" w:hAnsi="Arial" w:cs="Arial"/>
          <w:b/>
          <w:i/>
          <w:sz w:val="22"/>
          <w:szCs w:val="22"/>
        </w:rPr>
      </w:pPr>
      <w:r w:rsidRPr="001D029A">
        <w:rPr>
          <w:rFonts w:ascii="Arial" w:hAnsi="Arial" w:cs="Arial"/>
          <w:b/>
          <w:i/>
          <w:sz w:val="22"/>
          <w:szCs w:val="22"/>
        </w:rPr>
        <w:t>Κεφάλαιο : ΞΥΛΙΝΕΣ – ΜΕΤΑΛΛΙΚΕΣ ΚΑΤΑΣΚΕΥΕΣ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Στο κεφάλαιο αυτό παρουσιάζεται μείωση κατά 6.774,20 € (40,23%) λόγω αυξομειώσεων των συμβατικών ποσοτήτων και των νέων τιμών που συντάχθηκαν και περιλαμβάνονται στον 1</w:t>
      </w:r>
      <w:r w:rsidRPr="001D029A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1D029A">
        <w:rPr>
          <w:rFonts w:ascii="Arial" w:hAnsi="Arial" w:cs="Arial"/>
          <w:i/>
          <w:sz w:val="22"/>
          <w:szCs w:val="22"/>
        </w:rPr>
        <w:t xml:space="preserve"> ΑΠΕ</w:t>
      </w:r>
    </w:p>
    <w:p w:rsidR="001D029A" w:rsidRPr="001D029A" w:rsidRDefault="001D029A" w:rsidP="001D029A">
      <w:pPr>
        <w:rPr>
          <w:rFonts w:ascii="Arial" w:hAnsi="Arial" w:cs="Arial"/>
          <w:b/>
          <w:i/>
          <w:sz w:val="22"/>
          <w:szCs w:val="22"/>
        </w:rPr>
      </w:pPr>
      <w:r w:rsidRPr="001D029A">
        <w:rPr>
          <w:rFonts w:ascii="Arial" w:hAnsi="Arial" w:cs="Arial"/>
          <w:b/>
          <w:i/>
          <w:sz w:val="22"/>
          <w:szCs w:val="22"/>
        </w:rPr>
        <w:t xml:space="preserve">Κεφάλαιο : Η/Μ ΕΡΓΑΣΙΕΣ 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lastRenderedPageBreak/>
        <w:t>Ομοίως παρουσιάζεται αύξηση  κατά  4.460,66€  (6,60%)λόγω αυξομείωσης των συμβατικών  και των νέων εργασιών που περιλαμβάνονται στον 1</w:t>
      </w:r>
      <w:r w:rsidRPr="001D029A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1D029A">
        <w:rPr>
          <w:rFonts w:ascii="Arial" w:hAnsi="Arial" w:cs="Arial"/>
          <w:i/>
          <w:sz w:val="22"/>
          <w:szCs w:val="22"/>
        </w:rPr>
        <w:t xml:space="preserve"> ΑΠΕ ποσοτήτων 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Με τον παρόντα 2</w:t>
      </w:r>
      <w:r w:rsidRPr="001D029A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1D029A">
        <w:rPr>
          <w:rFonts w:ascii="Arial" w:hAnsi="Arial" w:cs="Arial"/>
          <w:i/>
          <w:sz w:val="22"/>
          <w:szCs w:val="22"/>
        </w:rPr>
        <w:t xml:space="preserve"> Ανακεφαλαιωτικό Πίνακα Εργασιών έχουμε συνολικά</w:t>
      </w:r>
    </w:p>
    <w:p w:rsidR="001D029A" w:rsidRPr="001D029A" w:rsidRDefault="001D029A" w:rsidP="001D029A">
      <w:pPr>
        <w:pStyle w:val="af9"/>
        <w:numPr>
          <w:ilvl w:val="0"/>
          <w:numId w:val="14"/>
        </w:numPr>
        <w:suppressAutoHyphens w:val="0"/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Επί πλέον εργασίες δαπάνης 22.475,77  € η  οποία καλύπτεται από την δαπάνη των απρόβλεπτων της μελέτης </w:t>
      </w:r>
    </w:p>
    <w:p w:rsidR="001D029A" w:rsidRPr="001D029A" w:rsidRDefault="001D029A" w:rsidP="001D029A">
      <w:pPr>
        <w:pStyle w:val="af9"/>
        <w:numPr>
          <w:ilvl w:val="0"/>
          <w:numId w:val="14"/>
        </w:numPr>
        <w:suppressAutoHyphens w:val="0"/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Διαθέσιμα απρόβλεπτα  0,00 €</w:t>
      </w:r>
    </w:p>
    <w:p w:rsidR="001D029A" w:rsidRPr="001D029A" w:rsidRDefault="001D029A" w:rsidP="001D029A">
      <w:pPr>
        <w:pStyle w:val="af9"/>
        <w:numPr>
          <w:ilvl w:val="0"/>
          <w:numId w:val="14"/>
        </w:numPr>
        <w:suppressAutoHyphens w:val="0"/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Τελική δαπάνη Α.Π.Ε σε απόλυτο ισοζύγιο με την σύμβαση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Η ανάδοχος εταιρεία   υπέγραψε χωρίς επιφύλαξη τον παρόντα 2</w:t>
      </w:r>
      <w:r w:rsidRPr="001D029A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1D029A">
        <w:rPr>
          <w:rFonts w:ascii="Arial" w:hAnsi="Arial" w:cs="Arial"/>
          <w:i/>
          <w:sz w:val="22"/>
          <w:szCs w:val="22"/>
        </w:rPr>
        <w:t xml:space="preserve"> Α.Π.Ε. </w:t>
      </w:r>
    </w:p>
    <w:p w:rsidR="001D029A" w:rsidRPr="001D029A" w:rsidRDefault="001D029A" w:rsidP="001D029A">
      <w:pPr>
        <w:shd w:val="clear" w:color="auto" w:fill="FFFFFF"/>
        <w:spacing w:before="240" w:after="240" w:line="254" w:lineRule="exact"/>
        <w:ind w:left="80" w:right="20"/>
        <w:jc w:val="both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Ικανοποιούνται οι προϋποθέσεις για την σύνταξη του Ανακεφαλαιωτικού Πίνακα Εργασιών που θέτει ο νόμος περί Δημοσίων έργων Ν.4412/16 και 4782/21</w:t>
      </w:r>
    </w:p>
    <w:p w:rsidR="001D029A" w:rsidRPr="001D029A" w:rsidRDefault="001D029A" w:rsidP="001D029A">
      <w:pPr>
        <w:shd w:val="clear" w:color="auto" w:fill="FFFFFF"/>
        <w:spacing w:before="240" w:line="250" w:lineRule="exact"/>
        <w:ind w:left="80" w:right="20"/>
        <w:jc w:val="both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Επίσης τηρούνται οι προϋποθέσεις που τίθενται από το άρθρο 156 « Αυξομειώσεις εργασιών-Νέες εργασίες», του, καθώς και από τις προγενέστερες Εγκυκλίους 30/10-12-2007 (με αρ.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. Δ17γ/04/170/ΦΝ380) και 20/26-07-2006 (με αρ.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>. Δ17γ/03/114/ΦΝ443) του Υ.ΠΕ.ΧΩ.ΔΕ, και ειδικότερα η παράγραφος 3 σχετικά με την χρήση της «επί έλασσον δαπάνης» που εξοικονομείται και συγκεκριμένα :</w:t>
      </w:r>
    </w:p>
    <w:p w:rsidR="001D029A" w:rsidRPr="001D029A" w:rsidRDefault="001D029A" w:rsidP="001D029A">
      <w:pPr>
        <w:shd w:val="clear" w:color="auto" w:fill="FFFFFF"/>
        <w:spacing w:line="250" w:lineRule="exact"/>
        <w:ind w:left="80" w:right="20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Δεν τροποποιείται το «βασικό σχέδιο», ούτε οι προδιαγραφές του έργου, όπως περιγράφεται στα συμβατικά τεύχη, ούτε να καταργείται ομάδα εργασιών της αρχικής σύμβασης Δεν θίγεται η πληρότητα, ποιότητα και λειτουργικότητα του έργου.</w:t>
      </w:r>
    </w:p>
    <w:p w:rsidR="001D029A" w:rsidRPr="001D029A" w:rsidRDefault="001D029A" w:rsidP="001D029A">
      <w:pPr>
        <w:shd w:val="clear" w:color="auto" w:fill="FFFFFF"/>
        <w:spacing w:after="240" w:line="250" w:lineRule="exact"/>
        <w:ind w:left="80" w:right="20"/>
        <w:jc w:val="both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Γενικότερα οι επί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έλαττον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</w:t>
      </w:r>
      <w:proofErr w:type="spellStart"/>
      <w:r w:rsidRPr="001D029A">
        <w:rPr>
          <w:rFonts w:ascii="Arial" w:hAnsi="Arial" w:cs="Arial"/>
          <w:i/>
          <w:sz w:val="22"/>
          <w:szCs w:val="22"/>
        </w:rPr>
        <w:t>απομείωση</w:t>
      </w:r>
      <w:proofErr w:type="spellEnd"/>
      <w:r w:rsidRPr="001D029A">
        <w:rPr>
          <w:rFonts w:ascii="Arial" w:hAnsi="Arial" w:cs="Arial"/>
          <w:i/>
          <w:sz w:val="22"/>
          <w:szCs w:val="22"/>
        </w:rPr>
        <w:t xml:space="preserve"> στοιχείων του έργου.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Τέλος  η διαχείριση των επί έλασσον ποσών είναι σύμφωνη  με τον κανόνα  χρήσης αυτών όπως ορίζεται  το αρ. 20204/Α.Πλ. 2547/1-6-2005 έγγραφο του ΥΠΟΙΟ και αποτυπώνεται στους συνημμένους πίνακες.</w:t>
      </w:r>
    </w:p>
    <w:p w:rsidR="001D029A" w:rsidRPr="001D029A" w:rsidRDefault="001D029A" w:rsidP="001D029A">
      <w:pPr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Στον 2</w:t>
      </w:r>
      <w:r w:rsidRPr="001D029A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1D029A">
        <w:rPr>
          <w:rFonts w:ascii="Arial" w:hAnsi="Arial" w:cs="Arial"/>
          <w:i/>
          <w:sz w:val="22"/>
          <w:szCs w:val="22"/>
        </w:rPr>
        <w:t xml:space="preserve"> ΑΠΕ δεν γίνεται χρήση επί έλασσον.</w:t>
      </w:r>
    </w:p>
    <w:p w:rsidR="001D029A" w:rsidRPr="001D029A" w:rsidRDefault="001D029A" w:rsidP="001D029A">
      <w:pPr>
        <w:ind w:right="22"/>
        <w:jc w:val="both"/>
        <w:rPr>
          <w:rFonts w:ascii="Arial" w:hAnsi="Arial" w:cs="Arial"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 xml:space="preserve">Έχοντας λοιπόν υπόψη τα ανωτέρω: </w:t>
      </w:r>
    </w:p>
    <w:p w:rsidR="001D029A" w:rsidRPr="001D029A" w:rsidRDefault="001D029A" w:rsidP="001D029A">
      <w:pPr>
        <w:pStyle w:val="aff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D029A" w:rsidRPr="001D029A" w:rsidRDefault="001D029A" w:rsidP="001D029A">
      <w:pPr>
        <w:pStyle w:val="aff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1D029A">
        <w:rPr>
          <w:rFonts w:ascii="Arial" w:hAnsi="Arial" w:cs="Arial"/>
          <w:b/>
          <w:i/>
          <w:sz w:val="22"/>
          <w:szCs w:val="22"/>
          <w:u w:val="single"/>
        </w:rPr>
        <w:t>Ε Ι Σ Η Γ Ο Υ Μ Ε Θ Α</w:t>
      </w:r>
    </w:p>
    <w:p w:rsidR="001D029A" w:rsidRPr="001D029A" w:rsidRDefault="001D029A" w:rsidP="001D029A">
      <w:pPr>
        <w:pStyle w:val="aff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D029A" w:rsidRPr="001D029A" w:rsidRDefault="001D029A" w:rsidP="001D029A">
      <w:pPr>
        <w:pStyle w:val="aff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D029A">
        <w:rPr>
          <w:rFonts w:ascii="Arial" w:hAnsi="Arial" w:cs="Arial"/>
          <w:i/>
          <w:sz w:val="22"/>
          <w:szCs w:val="22"/>
        </w:rPr>
        <w:t>Την έγκριση του 2</w:t>
      </w:r>
      <w:r w:rsidRPr="001D029A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1D029A">
        <w:rPr>
          <w:rFonts w:ascii="Arial" w:hAnsi="Arial" w:cs="Arial"/>
          <w:i/>
          <w:sz w:val="22"/>
          <w:szCs w:val="22"/>
        </w:rPr>
        <w:t xml:space="preserve"> Ανακεφαλαιωτικού Πίνακα Εργασιών του έργου:</w:t>
      </w:r>
      <w:r w:rsidRPr="001D029A">
        <w:rPr>
          <w:rFonts w:ascii="Arial" w:hAnsi="Arial" w:cs="Arial"/>
          <w:b/>
          <w:i/>
          <w:sz w:val="22"/>
          <w:szCs w:val="22"/>
        </w:rPr>
        <w:t xml:space="preserve"> </w:t>
      </w:r>
      <w:r w:rsidRPr="001D029A">
        <w:rPr>
          <w:rFonts w:ascii="Arial" w:hAnsi="Arial" w:cs="Arial"/>
          <w:i/>
          <w:sz w:val="22"/>
          <w:szCs w:val="22"/>
        </w:rPr>
        <w:t>ΠΑΡΕΜΒΑΣΕΙΣ ΓΙΑ ΠΡΟΣΑΡΜΟΓΗ ΛΕΙΤΟΥΡΓΟΥΝΤΩΝ ΕΞΙ (6) ΔΗΜΟΤΙΚΩΝ ΒΡΕΦΙΚΩΝ ΠΑΙΔΙΚΩΝ ΚΑΙ ΒΡΕΦΟΝΗΠΙΑΚΩΝ ΣΤΑΘΜΩΝ ΣΤΙΣ ΠΡΟΔΙΑΓΡΑΦΕΣ ΤΟΥΣ ΝΕΟΥ ΘΕΣΜΙΚΟΥ ΠΛΑΙΣΙΟΥ ΑΔΕΙΟΔΟΤΗΣΗΣ ΣΥΜΦΩΝΑ ΜΕ ΤΙΣ ΔΙΑΤΑΞΕΙΣ ΤΟΥ Π.Δ 99/2017</w:t>
      </w:r>
      <w:r w:rsidRPr="001D029A">
        <w:rPr>
          <w:rFonts w:ascii="Arial" w:hAnsi="Arial" w:cs="Arial"/>
          <w:b/>
          <w:i/>
          <w:sz w:val="22"/>
          <w:szCs w:val="22"/>
        </w:rPr>
        <w:t xml:space="preserve">» </w:t>
      </w:r>
      <w:r w:rsidRPr="001D029A">
        <w:rPr>
          <w:rFonts w:ascii="Arial" w:hAnsi="Arial" w:cs="Arial"/>
          <w:i/>
          <w:sz w:val="22"/>
          <w:szCs w:val="22"/>
        </w:rPr>
        <w:t>που βρίσκεται σε ισοζύγιο με την συνολική δαπάνη της αρχικής σύμβασης</w:t>
      </w:r>
      <w:r w:rsidRPr="001D029A">
        <w:rPr>
          <w:rFonts w:ascii="Arial" w:hAnsi="Arial" w:cs="Arial"/>
          <w:b/>
          <w:i/>
          <w:sz w:val="22"/>
          <w:szCs w:val="22"/>
        </w:rPr>
        <w:t>.</w:t>
      </w:r>
    </w:p>
    <w:p w:rsidR="001D029A" w:rsidRPr="001D029A" w:rsidRDefault="001D029A" w:rsidP="006433B4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</w:p>
    <w:p w:rsidR="002601B1" w:rsidRDefault="002601B1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Η </w:t>
      </w:r>
      <w:r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λαμβάνοντας υπόψη:</w:t>
      </w:r>
    </w:p>
    <w:p w:rsidR="001D029A" w:rsidRDefault="001D029A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2601B1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άρθρου 74</w:t>
      </w:r>
      <w:r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845ACF" w:rsidRPr="00E20E9B" w:rsidRDefault="002601B1" w:rsidP="009C2C5D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 w:rsidRPr="00467994">
        <w:rPr>
          <w:rFonts w:ascii="Arial" w:hAnsi="Arial" w:cs="Arial"/>
          <w:color w:val="00000A"/>
          <w:sz w:val="22"/>
          <w:szCs w:val="22"/>
        </w:rPr>
        <w:t>-</w:t>
      </w:r>
      <w:r w:rsidRPr="005E00DD">
        <w:rPr>
          <w:rFonts w:ascii="Arial" w:hAnsi="Arial" w:cs="Arial"/>
          <w:color w:val="000000"/>
          <w:sz w:val="22"/>
          <w:szCs w:val="22"/>
          <w:lang w:eastAsia="el-GR"/>
        </w:rPr>
        <w:t xml:space="preserve">Το με </w:t>
      </w:r>
      <w:proofErr w:type="spellStart"/>
      <w:r w:rsidRPr="005E00DD">
        <w:rPr>
          <w:rFonts w:ascii="Arial" w:hAnsi="Arial" w:cs="Arial"/>
          <w:color w:val="000000"/>
          <w:sz w:val="22"/>
          <w:szCs w:val="22"/>
        </w:rPr>
        <w:t>αρ.πρωτ</w:t>
      </w:r>
      <w:proofErr w:type="spellEnd"/>
      <w:r w:rsidRPr="005E00DD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E9" w:rsidRPr="005E00DD">
        <w:rPr>
          <w:rFonts w:ascii="Arial" w:hAnsi="Arial" w:cs="Arial"/>
          <w:sz w:val="22"/>
          <w:szCs w:val="22"/>
        </w:rPr>
        <w:t>2</w:t>
      </w:r>
      <w:r w:rsidR="00845ACF">
        <w:rPr>
          <w:rFonts w:ascii="Arial" w:hAnsi="Arial" w:cs="Arial"/>
          <w:sz w:val="22"/>
          <w:szCs w:val="22"/>
        </w:rPr>
        <w:t>9</w:t>
      </w:r>
      <w:r w:rsidR="00800440">
        <w:rPr>
          <w:rFonts w:ascii="Arial" w:hAnsi="Arial" w:cs="Arial"/>
          <w:sz w:val="22"/>
          <w:szCs w:val="22"/>
        </w:rPr>
        <w:t>76</w:t>
      </w:r>
      <w:r w:rsidR="00EC16E9" w:rsidRPr="005E00DD">
        <w:rPr>
          <w:rFonts w:ascii="Arial" w:hAnsi="Arial" w:cs="Arial"/>
          <w:sz w:val="22"/>
          <w:szCs w:val="22"/>
        </w:rPr>
        <w:t>/</w:t>
      </w:r>
      <w:r w:rsidR="00845ACF">
        <w:rPr>
          <w:rFonts w:ascii="Arial" w:hAnsi="Arial" w:cs="Arial"/>
          <w:sz w:val="22"/>
          <w:szCs w:val="22"/>
        </w:rPr>
        <w:t>1</w:t>
      </w:r>
      <w:r w:rsidR="00800440">
        <w:rPr>
          <w:rFonts w:ascii="Arial" w:hAnsi="Arial" w:cs="Arial"/>
          <w:sz w:val="22"/>
          <w:szCs w:val="22"/>
        </w:rPr>
        <w:t>7</w:t>
      </w:r>
      <w:r w:rsidR="00EC16E9" w:rsidRPr="005E00DD">
        <w:rPr>
          <w:rFonts w:ascii="Arial" w:hAnsi="Arial" w:cs="Arial"/>
          <w:sz w:val="22"/>
          <w:szCs w:val="22"/>
        </w:rPr>
        <w:t>.</w:t>
      </w:r>
      <w:r w:rsidR="00845ACF">
        <w:rPr>
          <w:rFonts w:ascii="Arial" w:hAnsi="Arial" w:cs="Arial"/>
          <w:sz w:val="22"/>
          <w:szCs w:val="22"/>
        </w:rPr>
        <w:t>02</w:t>
      </w:r>
      <w:r w:rsidR="00EC16E9" w:rsidRPr="005E00DD">
        <w:rPr>
          <w:rFonts w:ascii="Arial" w:hAnsi="Arial" w:cs="Arial"/>
          <w:sz w:val="22"/>
          <w:szCs w:val="22"/>
        </w:rPr>
        <w:t>.202</w:t>
      </w:r>
      <w:r w:rsidR="00845ACF">
        <w:rPr>
          <w:rFonts w:ascii="Arial" w:hAnsi="Arial" w:cs="Arial"/>
          <w:sz w:val="22"/>
          <w:szCs w:val="22"/>
        </w:rPr>
        <w:t>4</w:t>
      </w:r>
      <w:r w:rsidR="00EC16E9" w:rsidRPr="005E00DD">
        <w:rPr>
          <w:rFonts w:ascii="Arial" w:hAnsi="Arial" w:cs="Arial"/>
          <w:sz w:val="22"/>
          <w:szCs w:val="22"/>
        </w:rPr>
        <w:t xml:space="preserve">  </w:t>
      </w:r>
      <w:r w:rsidRPr="005E00DD">
        <w:rPr>
          <w:rFonts w:ascii="Arial" w:hAnsi="Arial" w:cs="Arial"/>
          <w:color w:val="000000"/>
          <w:sz w:val="22"/>
          <w:szCs w:val="22"/>
        </w:rPr>
        <w:t xml:space="preserve">έγγραφο  </w:t>
      </w:r>
      <w:r w:rsidR="00845ACF">
        <w:rPr>
          <w:rFonts w:ascii="Arial" w:eastAsia="Arial" w:hAnsi="Arial" w:cs="Arial"/>
          <w:sz w:val="22"/>
          <w:szCs w:val="22"/>
        </w:rPr>
        <w:t xml:space="preserve">του </w:t>
      </w:r>
      <w:r w:rsidR="009C2C5D">
        <w:rPr>
          <w:rFonts w:ascii="Arial" w:eastAsia="Arial" w:hAnsi="Arial" w:cs="Arial"/>
          <w:sz w:val="22"/>
          <w:szCs w:val="22"/>
        </w:rPr>
        <w:t>Δ/</w:t>
      </w:r>
      <w:proofErr w:type="spellStart"/>
      <w:r w:rsidR="009C2C5D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9C2C5D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9C2C5D" w:rsidRPr="009C2C5D">
        <w:rPr>
          <w:rFonts w:ascii="Arial" w:eastAsia="Arial" w:hAnsi="Arial" w:cs="Arial"/>
          <w:sz w:val="22"/>
          <w:szCs w:val="22"/>
        </w:rPr>
        <w:t xml:space="preserve"> </w:t>
      </w:r>
      <w:r w:rsidR="009C2C5D">
        <w:rPr>
          <w:rFonts w:ascii="Arial" w:eastAsia="Arial" w:hAnsi="Arial" w:cs="Arial"/>
          <w:sz w:val="22"/>
          <w:szCs w:val="22"/>
        </w:rPr>
        <w:t xml:space="preserve"> του Δήμου  </w:t>
      </w:r>
      <w:proofErr w:type="spellStart"/>
      <w:r w:rsidR="009C2C5D">
        <w:rPr>
          <w:rFonts w:ascii="Arial" w:eastAsia="Arial" w:hAnsi="Arial" w:cs="Arial"/>
          <w:sz w:val="22"/>
          <w:szCs w:val="22"/>
        </w:rPr>
        <w:t>Λεβαδέων</w:t>
      </w:r>
      <w:proofErr w:type="spellEnd"/>
    </w:p>
    <w:p w:rsidR="008F35DC" w:rsidRPr="008F35DC" w:rsidRDefault="008F35DC" w:rsidP="008F35DC">
      <w:pPr>
        <w:pStyle w:val="aff0"/>
        <w:jc w:val="both"/>
        <w:rPr>
          <w:rFonts w:ascii="Arial" w:hAnsi="Arial" w:cs="Arial"/>
          <w:sz w:val="22"/>
          <w:szCs w:val="22"/>
        </w:rPr>
      </w:pPr>
      <w:r w:rsidRPr="008F35DC">
        <w:rPr>
          <w:rFonts w:ascii="Arial" w:eastAsia="Verdana" w:hAnsi="Arial" w:cs="Arial"/>
          <w:color w:val="000000"/>
          <w:sz w:val="22"/>
          <w:szCs w:val="22"/>
        </w:rPr>
        <w:t>-</w:t>
      </w:r>
      <w:r w:rsidRPr="008F35DC">
        <w:rPr>
          <w:rFonts w:ascii="Arial" w:hAnsi="Arial" w:cs="Arial"/>
          <w:sz w:val="22"/>
          <w:szCs w:val="22"/>
        </w:rPr>
        <w:t xml:space="preserve">Τον  </w:t>
      </w:r>
      <w:r>
        <w:rPr>
          <w:rFonts w:ascii="Arial" w:hAnsi="Arial" w:cs="Arial"/>
          <w:sz w:val="22"/>
          <w:szCs w:val="22"/>
        </w:rPr>
        <w:t>2</w:t>
      </w:r>
      <w:r w:rsidRPr="008F35DC">
        <w:rPr>
          <w:rFonts w:ascii="Arial" w:hAnsi="Arial" w:cs="Arial"/>
          <w:sz w:val="22"/>
          <w:szCs w:val="22"/>
          <w:vertAlign w:val="superscript"/>
        </w:rPr>
        <w:t>ο</w:t>
      </w:r>
      <w:r w:rsidRPr="008F35DC">
        <w:rPr>
          <w:rFonts w:ascii="Arial" w:hAnsi="Arial" w:cs="Arial"/>
          <w:sz w:val="22"/>
          <w:szCs w:val="22"/>
        </w:rPr>
        <w:t xml:space="preserve"> Ανακεφαλαιωτικό  Πίνακα Εργασιών του έργου </w:t>
      </w:r>
      <w:r>
        <w:rPr>
          <w:rFonts w:ascii="Arial" w:hAnsi="Arial" w:cs="Arial"/>
          <w:sz w:val="22"/>
          <w:szCs w:val="22"/>
        </w:rPr>
        <w:t xml:space="preserve">: </w:t>
      </w:r>
      <w:r w:rsidRPr="008F35DC">
        <w:rPr>
          <w:rFonts w:ascii="Arial" w:hAnsi="Arial" w:cs="Arial"/>
          <w:sz w:val="22"/>
          <w:szCs w:val="22"/>
        </w:rPr>
        <w:t>«ΠΑΡΕΜΒΑΣΕΙΣ ΓΙΑ ΠΡΟΣΑΡΜΟΓΗ ΛΕΙΤΟΥΡΓΟΥΝΤΩΝ ΕΞΙ (6) ΔΗΜΟΤΙΚΩΝ ΒΡΕΦΙΚΩΝ ΠΑΙΔΙΚΩΝ ΚΑΙ ΒΡΕΦΟΝΗΠΙΑΚΩΝ ΣΤΑΘΜΩΝ ΣΤΙΣ ΠΡΟΔΙΑΓΡΑΦΕΣ ΤΟΥΣ ΝΕΟΥ ΘΕΣΜΙΚΟΥ ΠΛΑΙΣΙΟΥ ΑΔΕΙΟΔΟΤΗΣΗΣ ΣΥΜΦΩΝΑ ΜΕ</w:t>
      </w:r>
      <w:r>
        <w:rPr>
          <w:rFonts w:ascii="Arial" w:hAnsi="Arial" w:cs="Arial"/>
          <w:sz w:val="22"/>
          <w:szCs w:val="22"/>
        </w:rPr>
        <w:t xml:space="preserve"> ΤΙΣ ΔΙΑΤΑΞΕΙΣ ΤΟΥ Π.Δ 99/2017» </w:t>
      </w:r>
      <w:r w:rsidRPr="008F35DC">
        <w:rPr>
          <w:rFonts w:ascii="Arial" w:hAnsi="Arial" w:cs="Arial"/>
          <w:sz w:val="22"/>
          <w:szCs w:val="22"/>
        </w:rPr>
        <w:t xml:space="preserve"> που είχε διανεμηθεί.</w:t>
      </w:r>
    </w:p>
    <w:p w:rsidR="008F35DC" w:rsidRPr="008F35DC" w:rsidRDefault="008F35DC" w:rsidP="008F35DC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8F35DC">
        <w:rPr>
          <w:rFonts w:ascii="Arial" w:eastAsia="Arial" w:hAnsi="Arial" w:cs="Arial"/>
          <w:color w:val="000000"/>
          <w:sz w:val="22"/>
          <w:szCs w:val="22"/>
        </w:rPr>
        <w:t>-Τ</w:t>
      </w:r>
      <w:r w:rsidRPr="008F35DC">
        <w:rPr>
          <w:rFonts w:ascii="Arial" w:hAnsi="Arial" w:cs="Arial"/>
          <w:sz w:val="22"/>
          <w:szCs w:val="22"/>
        </w:rPr>
        <w:t xml:space="preserve">ην αιτιολογική έκθεση  που συνοδεύει </w:t>
      </w:r>
      <w:r w:rsidRPr="008F35DC">
        <w:rPr>
          <w:rFonts w:ascii="Arial" w:eastAsia="Arial" w:hAnsi="Arial" w:cs="Arial"/>
          <w:color w:val="000000"/>
          <w:sz w:val="22"/>
          <w:szCs w:val="22"/>
        </w:rPr>
        <w:t xml:space="preserve">τον </w:t>
      </w:r>
      <w:r>
        <w:rPr>
          <w:rFonts w:ascii="Arial" w:eastAsia="Arial" w:hAnsi="Arial" w:cs="Arial"/>
          <w:color w:val="000000"/>
          <w:sz w:val="22"/>
          <w:szCs w:val="22"/>
        </w:rPr>
        <w:t>2</w:t>
      </w:r>
      <w:r w:rsidRPr="008F35DC">
        <w:rPr>
          <w:rFonts w:ascii="Arial" w:eastAsia="Arial" w:hAnsi="Arial" w:cs="Arial"/>
          <w:color w:val="000000"/>
          <w:sz w:val="22"/>
          <w:szCs w:val="22"/>
          <w:vertAlign w:val="superscript"/>
        </w:rPr>
        <w:t>ο</w:t>
      </w:r>
      <w:r w:rsidRPr="008F35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F35DC">
        <w:rPr>
          <w:rFonts w:ascii="Arial" w:eastAsia="Arial" w:hAnsi="Arial" w:cs="Arial"/>
          <w:sz w:val="22"/>
          <w:szCs w:val="22"/>
        </w:rPr>
        <w:t xml:space="preserve">  Α.Π.Ε </w:t>
      </w:r>
      <w:r w:rsidRPr="008F35DC">
        <w:rPr>
          <w:rFonts w:ascii="Arial" w:hAnsi="Arial" w:cs="Arial"/>
          <w:sz w:val="22"/>
          <w:szCs w:val="22"/>
        </w:rPr>
        <w:t>που είχε διανεμηθεί</w:t>
      </w:r>
    </w:p>
    <w:p w:rsidR="008F35DC" w:rsidRPr="008F35DC" w:rsidRDefault="008F35DC" w:rsidP="008F35D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35DC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8F35DC" w:rsidRPr="008F35DC" w:rsidRDefault="008F35DC" w:rsidP="008F35D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F35DC">
        <w:rPr>
          <w:rFonts w:ascii="Arial" w:hAnsi="Arial" w:cs="Arial"/>
          <w:sz w:val="22"/>
          <w:szCs w:val="22"/>
        </w:rPr>
        <w:lastRenderedPageBreak/>
        <w:t>- Την ψήφο των μελών της όπως αυτή  διατυπώθηκε και δηλώθηκε δια ζώσης στην συνεδρίαση</w:t>
      </w:r>
    </w:p>
    <w:p w:rsidR="008F35DC" w:rsidRPr="008F35DC" w:rsidRDefault="008F35DC" w:rsidP="008F35D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F35DC" w:rsidRPr="00021C94" w:rsidRDefault="008F35DC" w:rsidP="008F35D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8F35DC" w:rsidRPr="00021C94" w:rsidRDefault="008F35DC" w:rsidP="008F35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21C9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ΑΠΟΦΑΣΙΖΕΙ  ΟΜΟΦΩΝΑ</w:t>
      </w:r>
    </w:p>
    <w:p w:rsidR="008F35DC" w:rsidRPr="00021C94" w:rsidRDefault="008F35DC" w:rsidP="008F35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8F35DC" w:rsidRPr="008F35DC" w:rsidRDefault="008F35DC" w:rsidP="008F35DC">
      <w:pPr>
        <w:pStyle w:val="aff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35DC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      Εγκρίνει  τον </w:t>
      </w:r>
      <w:r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>2</w:t>
      </w:r>
      <w:r w:rsidRPr="008F35DC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  <w:vertAlign w:val="superscript"/>
        </w:rPr>
        <w:t>ο</w:t>
      </w:r>
      <w:r w:rsidRPr="008F35DC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</w:t>
      </w:r>
      <w:r w:rsidRPr="008F35DC">
        <w:rPr>
          <w:rFonts w:ascii="Arial" w:hAnsi="Arial" w:cs="Arial"/>
          <w:sz w:val="22"/>
          <w:szCs w:val="22"/>
        </w:rPr>
        <w:t xml:space="preserve"> Ανακεφαλαιωτικό Πίνακα Εργασιών του έργου με τίτλο</w:t>
      </w:r>
      <w:r>
        <w:rPr>
          <w:rFonts w:ascii="Arial" w:hAnsi="Arial" w:cs="Arial"/>
          <w:sz w:val="22"/>
          <w:szCs w:val="22"/>
        </w:rPr>
        <w:t>:</w:t>
      </w:r>
      <w:r w:rsidRPr="008F35DC">
        <w:rPr>
          <w:rFonts w:ascii="Arial" w:hAnsi="Arial" w:cs="Arial"/>
          <w:sz w:val="22"/>
          <w:szCs w:val="22"/>
        </w:rPr>
        <w:t xml:space="preserve"> «ΠΑΡΕΜΒΑΣΕΙΣ ΓΙΑ ΠΡΟΣΑΡΜΟΓΗ ΛΕΙΤΟΥΡΓΟΥΝΤΩΝ ΕΞΙ (6) ΔΗΜΟΤΙΚΩΝ ΒΡΕΦΙΚΩΝ ΠΑΙΔΙΚΩΝ ΚΑΙ ΒΡΕΦΟΝΗΠΙΑΚΩΝ ΣΤΑΘΜΩΝ ΣΤΙΣ ΠΡΟΔΙΑΓΡΑΦΕΣ ΤΟΥΣ ΝΕΟΥ ΘΕΣΜΙΚΟΥ ΠΛΑΙΣΙΟΥ ΑΔΕΙΟΔΟΤΗΣΗΣ ΣΥΜΦΩΝΑ ΜΕ</w:t>
      </w:r>
      <w:r>
        <w:rPr>
          <w:rFonts w:ascii="Arial" w:hAnsi="Arial" w:cs="Arial"/>
          <w:sz w:val="22"/>
          <w:szCs w:val="22"/>
        </w:rPr>
        <w:t xml:space="preserve"> ΤΙΣ ΔΙΑΤΑΞΕΙΣ ΤΟΥ Π.Δ 99/2017» </w:t>
      </w:r>
      <w:r w:rsidRPr="008F35DC">
        <w:rPr>
          <w:rFonts w:ascii="Arial" w:hAnsi="Arial" w:cs="Arial"/>
          <w:sz w:val="22"/>
          <w:szCs w:val="22"/>
        </w:rPr>
        <w:t xml:space="preserve"> που βρίσκεται σε ισοζύγιο με την συνολική δαπάνη της αρχικής σύμβασης</w:t>
      </w:r>
      <w:r w:rsidRPr="008F35DC">
        <w:rPr>
          <w:rFonts w:ascii="Arial" w:hAnsi="Arial" w:cs="Arial"/>
          <w:b/>
          <w:sz w:val="22"/>
          <w:szCs w:val="22"/>
        </w:rPr>
        <w:t>.</w:t>
      </w:r>
    </w:p>
    <w:p w:rsidR="00581B97" w:rsidRPr="00A620C9" w:rsidRDefault="00581B97" w:rsidP="008F35DC">
      <w:pPr>
        <w:pStyle w:val="aff0"/>
        <w:jc w:val="both"/>
        <w:rPr>
          <w:sz w:val="22"/>
          <w:szCs w:val="22"/>
        </w:rPr>
      </w:pPr>
    </w:p>
    <w:p w:rsidR="00581B97" w:rsidRPr="00E20E9B" w:rsidRDefault="00581B97" w:rsidP="00581B97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559D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559D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E20E9B" w:rsidRPr="00E20E9B">
        <w:rPr>
          <w:rFonts w:ascii="Arial" w:hAnsi="Arial" w:cs="Arial"/>
          <w:b/>
          <w:sz w:val="22"/>
          <w:szCs w:val="22"/>
        </w:rPr>
        <w:t>5</w:t>
      </w:r>
      <w:r w:rsidR="00AC338A">
        <w:rPr>
          <w:rFonts w:ascii="Arial" w:hAnsi="Arial" w:cs="Arial"/>
          <w:b/>
          <w:sz w:val="22"/>
          <w:szCs w:val="22"/>
        </w:rPr>
        <w:t>1</w:t>
      </w:r>
      <w:r w:rsidRPr="008559D4">
        <w:rPr>
          <w:rFonts w:ascii="Arial" w:hAnsi="Arial" w:cs="Arial"/>
          <w:b/>
          <w:sz w:val="22"/>
          <w:szCs w:val="22"/>
        </w:rPr>
        <w:t xml:space="preserve">/2024.     </w:t>
      </w:r>
    </w:p>
    <w:p w:rsidR="006B4B46" w:rsidRPr="00E20E9B" w:rsidRDefault="006B4B46" w:rsidP="00581B97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1C6B24" w:rsidRPr="008C19E4" w:rsidRDefault="00845ACF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F24BC">
        <w:rPr>
          <w:rFonts w:ascii="Arial" w:hAnsi="Arial" w:cs="Arial"/>
          <w:sz w:val="22"/>
          <w:szCs w:val="22"/>
        </w:rPr>
        <w:t>Καλλιαντάσης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8C19E4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5.Μίχας  Δημήτριος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      </w:t>
      </w:r>
      <w:r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6.Ταγκαλέγκας Ιωάννης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845ACF">
        <w:rPr>
          <w:rFonts w:ascii="Arial" w:hAnsi="Arial" w:cs="Arial"/>
          <w:sz w:val="22"/>
          <w:szCs w:val="22"/>
        </w:rPr>
        <w:t>21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Pr="008C19E4">
        <w:rPr>
          <w:rFonts w:ascii="Arial" w:hAnsi="Arial" w:cs="Arial"/>
          <w:sz w:val="22"/>
          <w:szCs w:val="22"/>
        </w:rPr>
        <w:t>0</w:t>
      </w:r>
      <w:r w:rsidR="00831AFF">
        <w:rPr>
          <w:rFonts w:ascii="Arial" w:hAnsi="Arial" w:cs="Arial"/>
          <w:sz w:val="22"/>
          <w:szCs w:val="22"/>
        </w:rPr>
        <w:t>2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3B7D5C" w:rsidRDefault="008C19E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</w:t>
      </w:r>
      <w:r w:rsidR="001C6B24"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5D" w:rsidRDefault="00F01B5D">
      <w:r>
        <w:separator/>
      </w:r>
    </w:p>
  </w:endnote>
  <w:endnote w:type="continuationSeparator" w:id="0">
    <w:p w:rsidR="00F01B5D" w:rsidRDefault="00F0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5D" w:rsidRDefault="00F01B5D">
      <w:r>
        <w:separator/>
      </w:r>
    </w:p>
  </w:footnote>
  <w:footnote w:type="continuationSeparator" w:id="0">
    <w:p w:rsidR="00F01B5D" w:rsidRDefault="00F0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0C" w:rsidRDefault="000C64C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C1F0C" w:rsidRDefault="000C64C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C1F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523D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0C" w:rsidRDefault="006C1F0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114151"/>
    <w:multiLevelType w:val="hybridMultilevel"/>
    <w:tmpl w:val="1E76DEAA"/>
    <w:lvl w:ilvl="0" w:tplc="0408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95C1838"/>
    <w:multiLevelType w:val="hybridMultilevel"/>
    <w:tmpl w:val="905CB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49EA"/>
    <w:multiLevelType w:val="hybridMultilevel"/>
    <w:tmpl w:val="B59C9870"/>
    <w:lvl w:ilvl="0" w:tplc="75CA2D00">
      <w:start w:val="95"/>
      <w:numFmt w:val="decimal"/>
      <w:lvlText w:val="(%1)"/>
      <w:lvlJc w:val="left"/>
      <w:pPr>
        <w:ind w:left="400" w:hanging="52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9FFE5A12">
      <w:start w:val="1"/>
      <w:numFmt w:val="decimal"/>
      <w:lvlText w:val="%2."/>
      <w:lvlJc w:val="left"/>
      <w:pPr>
        <w:ind w:left="760" w:hanging="185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el-GR" w:eastAsia="en-US" w:bidi="ar-SA"/>
      </w:rPr>
    </w:lvl>
    <w:lvl w:ilvl="2" w:tplc="ECC6E7A4">
      <w:numFmt w:val="bullet"/>
      <w:lvlText w:val="•"/>
      <w:lvlJc w:val="left"/>
      <w:pPr>
        <w:ind w:left="1805" w:hanging="185"/>
      </w:pPr>
      <w:rPr>
        <w:rFonts w:hint="default"/>
        <w:lang w:val="el-GR" w:eastAsia="en-US" w:bidi="ar-SA"/>
      </w:rPr>
    </w:lvl>
    <w:lvl w:ilvl="3" w:tplc="1036689C">
      <w:numFmt w:val="bullet"/>
      <w:lvlText w:val="•"/>
      <w:lvlJc w:val="left"/>
      <w:pPr>
        <w:ind w:left="2850" w:hanging="185"/>
      </w:pPr>
      <w:rPr>
        <w:rFonts w:hint="default"/>
        <w:lang w:val="el-GR" w:eastAsia="en-US" w:bidi="ar-SA"/>
      </w:rPr>
    </w:lvl>
    <w:lvl w:ilvl="4" w:tplc="7EC854C8">
      <w:numFmt w:val="bullet"/>
      <w:lvlText w:val="•"/>
      <w:lvlJc w:val="left"/>
      <w:pPr>
        <w:ind w:left="3895" w:hanging="185"/>
      </w:pPr>
      <w:rPr>
        <w:rFonts w:hint="default"/>
        <w:lang w:val="el-GR" w:eastAsia="en-US" w:bidi="ar-SA"/>
      </w:rPr>
    </w:lvl>
    <w:lvl w:ilvl="5" w:tplc="D35AB3A4">
      <w:numFmt w:val="bullet"/>
      <w:lvlText w:val="•"/>
      <w:lvlJc w:val="left"/>
      <w:pPr>
        <w:ind w:left="4940" w:hanging="185"/>
      </w:pPr>
      <w:rPr>
        <w:rFonts w:hint="default"/>
        <w:lang w:val="el-GR" w:eastAsia="en-US" w:bidi="ar-SA"/>
      </w:rPr>
    </w:lvl>
    <w:lvl w:ilvl="6" w:tplc="12FCA442">
      <w:numFmt w:val="bullet"/>
      <w:lvlText w:val="•"/>
      <w:lvlJc w:val="left"/>
      <w:pPr>
        <w:ind w:left="5985" w:hanging="185"/>
      </w:pPr>
      <w:rPr>
        <w:rFonts w:hint="default"/>
        <w:lang w:val="el-GR" w:eastAsia="en-US" w:bidi="ar-SA"/>
      </w:rPr>
    </w:lvl>
    <w:lvl w:ilvl="7" w:tplc="0C98674C">
      <w:numFmt w:val="bullet"/>
      <w:lvlText w:val="•"/>
      <w:lvlJc w:val="left"/>
      <w:pPr>
        <w:ind w:left="7030" w:hanging="185"/>
      </w:pPr>
      <w:rPr>
        <w:rFonts w:hint="default"/>
        <w:lang w:val="el-GR" w:eastAsia="en-US" w:bidi="ar-SA"/>
      </w:rPr>
    </w:lvl>
    <w:lvl w:ilvl="8" w:tplc="448AEE40">
      <w:numFmt w:val="bullet"/>
      <w:lvlText w:val="•"/>
      <w:lvlJc w:val="left"/>
      <w:pPr>
        <w:ind w:left="8076" w:hanging="185"/>
      </w:pPr>
      <w:rPr>
        <w:rFonts w:hint="default"/>
        <w:lang w:val="el-GR" w:eastAsia="en-US" w:bidi="ar-SA"/>
      </w:rPr>
    </w:lvl>
  </w:abstractNum>
  <w:abstractNum w:abstractNumId="6">
    <w:nsid w:val="3A022C9B"/>
    <w:multiLevelType w:val="hybridMultilevel"/>
    <w:tmpl w:val="A7D8B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41979"/>
    <w:multiLevelType w:val="hybridMultilevel"/>
    <w:tmpl w:val="FF8E6E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F1DB8"/>
    <w:multiLevelType w:val="hybridMultilevel"/>
    <w:tmpl w:val="ABE892A0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8C2ED7"/>
    <w:multiLevelType w:val="hybridMultilevel"/>
    <w:tmpl w:val="D2B05D1C"/>
    <w:lvl w:ilvl="0" w:tplc="98882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892F37"/>
    <w:multiLevelType w:val="hybridMultilevel"/>
    <w:tmpl w:val="01489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62B20"/>
    <w:multiLevelType w:val="hybridMultilevel"/>
    <w:tmpl w:val="61486222"/>
    <w:lvl w:ilvl="0" w:tplc="0408000F">
      <w:start w:val="1"/>
      <w:numFmt w:val="decimal"/>
      <w:lvlText w:val="%1."/>
      <w:lvlJc w:val="left"/>
      <w:pPr>
        <w:ind w:left="1014" w:hanging="24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el-GR" w:eastAsia="en-US" w:bidi="ar-SA"/>
      </w:rPr>
    </w:lvl>
    <w:lvl w:ilvl="1" w:tplc="04080019">
      <w:numFmt w:val="bullet"/>
      <w:lvlText w:val="•"/>
      <w:lvlJc w:val="left"/>
      <w:pPr>
        <w:ind w:left="1934" w:hanging="245"/>
      </w:pPr>
      <w:rPr>
        <w:rFonts w:hint="default"/>
        <w:lang w:val="el-GR" w:eastAsia="en-US" w:bidi="ar-SA"/>
      </w:rPr>
    </w:lvl>
    <w:lvl w:ilvl="2" w:tplc="0408001B">
      <w:numFmt w:val="bullet"/>
      <w:lvlText w:val="•"/>
      <w:lvlJc w:val="left"/>
      <w:pPr>
        <w:ind w:left="2849" w:hanging="245"/>
      </w:pPr>
      <w:rPr>
        <w:rFonts w:hint="default"/>
        <w:lang w:val="el-GR" w:eastAsia="en-US" w:bidi="ar-SA"/>
      </w:rPr>
    </w:lvl>
    <w:lvl w:ilvl="3" w:tplc="0408000F">
      <w:numFmt w:val="bullet"/>
      <w:lvlText w:val="•"/>
      <w:lvlJc w:val="left"/>
      <w:pPr>
        <w:ind w:left="3763" w:hanging="245"/>
      </w:pPr>
      <w:rPr>
        <w:rFonts w:hint="default"/>
        <w:lang w:val="el-GR" w:eastAsia="en-US" w:bidi="ar-SA"/>
      </w:rPr>
    </w:lvl>
    <w:lvl w:ilvl="4" w:tplc="04080019">
      <w:numFmt w:val="bullet"/>
      <w:lvlText w:val="•"/>
      <w:lvlJc w:val="left"/>
      <w:pPr>
        <w:ind w:left="4678" w:hanging="245"/>
      </w:pPr>
      <w:rPr>
        <w:rFonts w:hint="default"/>
        <w:lang w:val="el-GR" w:eastAsia="en-US" w:bidi="ar-SA"/>
      </w:rPr>
    </w:lvl>
    <w:lvl w:ilvl="5" w:tplc="0408001B">
      <w:numFmt w:val="bullet"/>
      <w:lvlText w:val="•"/>
      <w:lvlJc w:val="left"/>
      <w:pPr>
        <w:ind w:left="5593" w:hanging="245"/>
      </w:pPr>
      <w:rPr>
        <w:rFonts w:hint="default"/>
        <w:lang w:val="el-GR" w:eastAsia="en-US" w:bidi="ar-SA"/>
      </w:rPr>
    </w:lvl>
    <w:lvl w:ilvl="6" w:tplc="0408000F">
      <w:numFmt w:val="bullet"/>
      <w:lvlText w:val="•"/>
      <w:lvlJc w:val="left"/>
      <w:pPr>
        <w:ind w:left="6507" w:hanging="245"/>
      </w:pPr>
      <w:rPr>
        <w:rFonts w:hint="default"/>
        <w:lang w:val="el-GR" w:eastAsia="en-US" w:bidi="ar-SA"/>
      </w:rPr>
    </w:lvl>
    <w:lvl w:ilvl="7" w:tplc="04080019">
      <w:numFmt w:val="bullet"/>
      <w:lvlText w:val="•"/>
      <w:lvlJc w:val="left"/>
      <w:pPr>
        <w:ind w:left="7422" w:hanging="245"/>
      </w:pPr>
      <w:rPr>
        <w:rFonts w:hint="default"/>
        <w:lang w:val="el-GR" w:eastAsia="en-US" w:bidi="ar-SA"/>
      </w:rPr>
    </w:lvl>
    <w:lvl w:ilvl="8" w:tplc="0408001B">
      <w:numFmt w:val="bullet"/>
      <w:lvlText w:val="•"/>
      <w:lvlJc w:val="left"/>
      <w:pPr>
        <w:ind w:left="8337" w:hanging="245"/>
      </w:pPr>
      <w:rPr>
        <w:rFonts w:hint="default"/>
        <w:lang w:val="el-GR" w:eastAsia="en-US" w:bidi="ar-SA"/>
      </w:rPr>
    </w:lvl>
  </w:abstractNum>
  <w:abstractNum w:abstractNumId="12">
    <w:nsid w:val="72142A96"/>
    <w:multiLevelType w:val="hybridMultilevel"/>
    <w:tmpl w:val="EFDEA094"/>
    <w:lvl w:ilvl="0" w:tplc="3CCE3994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0B6E952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A986E4F0">
      <w:numFmt w:val="bullet"/>
      <w:lvlText w:val="•"/>
      <w:lvlJc w:val="left"/>
      <w:pPr>
        <w:ind w:left="2641" w:hanging="360"/>
      </w:pPr>
      <w:rPr>
        <w:rFonts w:hint="default"/>
        <w:lang w:val="el-GR" w:eastAsia="en-US" w:bidi="ar-SA"/>
      </w:rPr>
    </w:lvl>
    <w:lvl w:ilvl="3" w:tplc="79B20FEE">
      <w:numFmt w:val="bullet"/>
      <w:lvlText w:val="•"/>
      <w:lvlJc w:val="left"/>
      <w:pPr>
        <w:ind w:left="3581" w:hanging="360"/>
      </w:pPr>
      <w:rPr>
        <w:rFonts w:hint="default"/>
        <w:lang w:val="el-GR" w:eastAsia="en-US" w:bidi="ar-SA"/>
      </w:rPr>
    </w:lvl>
    <w:lvl w:ilvl="4" w:tplc="74F2D24C">
      <w:numFmt w:val="bullet"/>
      <w:lvlText w:val="•"/>
      <w:lvlJc w:val="left"/>
      <w:pPr>
        <w:ind w:left="4522" w:hanging="360"/>
      </w:pPr>
      <w:rPr>
        <w:rFonts w:hint="default"/>
        <w:lang w:val="el-GR" w:eastAsia="en-US" w:bidi="ar-SA"/>
      </w:rPr>
    </w:lvl>
    <w:lvl w:ilvl="5" w:tplc="278200EC">
      <w:numFmt w:val="bullet"/>
      <w:lvlText w:val="•"/>
      <w:lvlJc w:val="left"/>
      <w:pPr>
        <w:ind w:left="5463" w:hanging="360"/>
      </w:pPr>
      <w:rPr>
        <w:rFonts w:hint="default"/>
        <w:lang w:val="el-GR" w:eastAsia="en-US" w:bidi="ar-SA"/>
      </w:rPr>
    </w:lvl>
    <w:lvl w:ilvl="6" w:tplc="DECCFD3C">
      <w:numFmt w:val="bullet"/>
      <w:lvlText w:val="•"/>
      <w:lvlJc w:val="left"/>
      <w:pPr>
        <w:ind w:left="6403" w:hanging="360"/>
      </w:pPr>
      <w:rPr>
        <w:rFonts w:hint="default"/>
        <w:lang w:val="el-GR" w:eastAsia="en-US" w:bidi="ar-SA"/>
      </w:rPr>
    </w:lvl>
    <w:lvl w:ilvl="7" w:tplc="97484380">
      <w:numFmt w:val="bullet"/>
      <w:lvlText w:val="•"/>
      <w:lvlJc w:val="left"/>
      <w:pPr>
        <w:ind w:left="7344" w:hanging="360"/>
      </w:pPr>
      <w:rPr>
        <w:rFonts w:hint="default"/>
        <w:lang w:val="el-GR" w:eastAsia="en-US" w:bidi="ar-SA"/>
      </w:rPr>
    </w:lvl>
    <w:lvl w:ilvl="8" w:tplc="0C440374">
      <w:numFmt w:val="bullet"/>
      <w:lvlText w:val="•"/>
      <w:lvlJc w:val="left"/>
      <w:pPr>
        <w:ind w:left="8285" w:hanging="360"/>
      </w:pPr>
      <w:rPr>
        <w:rFonts w:hint="default"/>
        <w:lang w:val="el-GR" w:eastAsia="en-US" w:bidi="ar-SA"/>
      </w:rPr>
    </w:lvl>
  </w:abstractNum>
  <w:abstractNum w:abstractNumId="13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9A3927"/>
    <w:multiLevelType w:val="hybridMultilevel"/>
    <w:tmpl w:val="734491D4"/>
    <w:lvl w:ilvl="0" w:tplc="02BC2722">
      <w:numFmt w:val="bullet"/>
      <w:lvlText w:val="-"/>
      <w:lvlJc w:val="left"/>
      <w:pPr>
        <w:ind w:left="400" w:hanging="17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CC14C368">
      <w:numFmt w:val="bullet"/>
      <w:lvlText w:val="•"/>
      <w:lvlJc w:val="left"/>
      <w:pPr>
        <w:ind w:left="1376" w:hanging="176"/>
      </w:pPr>
      <w:rPr>
        <w:rFonts w:hint="default"/>
        <w:lang w:val="el-GR" w:eastAsia="en-US" w:bidi="ar-SA"/>
      </w:rPr>
    </w:lvl>
    <w:lvl w:ilvl="2" w:tplc="E364FF66">
      <w:numFmt w:val="bullet"/>
      <w:lvlText w:val="•"/>
      <w:lvlJc w:val="left"/>
      <w:pPr>
        <w:ind w:left="2353" w:hanging="176"/>
      </w:pPr>
      <w:rPr>
        <w:rFonts w:hint="default"/>
        <w:lang w:val="el-GR" w:eastAsia="en-US" w:bidi="ar-SA"/>
      </w:rPr>
    </w:lvl>
    <w:lvl w:ilvl="3" w:tplc="82DCA818">
      <w:numFmt w:val="bullet"/>
      <w:lvlText w:val="•"/>
      <w:lvlJc w:val="left"/>
      <w:pPr>
        <w:ind w:left="3329" w:hanging="176"/>
      </w:pPr>
      <w:rPr>
        <w:rFonts w:hint="default"/>
        <w:lang w:val="el-GR" w:eastAsia="en-US" w:bidi="ar-SA"/>
      </w:rPr>
    </w:lvl>
    <w:lvl w:ilvl="4" w:tplc="4DDC8A8C">
      <w:numFmt w:val="bullet"/>
      <w:lvlText w:val="•"/>
      <w:lvlJc w:val="left"/>
      <w:pPr>
        <w:ind w:left="4306" w:hanging="176"/>
      </w:pPr>
      <w:rPr>
        <w:rFonts w:hint="default"/>
        <w:lang w:val="el-GR" w:eastAsia="en-US" w:bidi="ar-SA"/>
      </w:rPr>
    </w:lvl>
    <w:lvl w:ilvl="5" w:tplc="B37E6A96">
      <w:numFmt w:val="bullet"/>
      <w:lvlText w:val="•"/>
      <w:lvlJc w:val="left"/>
      <w:pPr>
        <w:ind w:left="5283" w:hanging="176"/>
      </w:pPr>
      <w:rPr>
        <w:rFonts w:hint="default"/>
        <w:lang w:val="el-GR" w:eastAsia="en-US" w:bidi="ar-SA"/>
      </w:rPr>
    </w:lvl>
    <w:lvl w:ilvl="6" w:tplc="89C82FAA">
      <w:numFmt w:val="bullet"/>
      <w:lvlText w:val="•"/>
      <w:lvlJc w:val="left"/>
      <w:pPr>
        <w:ind w:left="6259" w:hanging="176"/>
      </w:pPr>
      <w:rPr>
        <w:rFonts w:hint="default"/>
        <w:lang w:val="el-GR" w:eastAsia="en-US" w:bidi="ar-SA"/>
      </w:rPr>
    </w:lvl>
    <w:lvl w:ilvl="7" w:tplc="EBB4EF4C">
      <w:numFmt w:val="bullet"/>
      <w:lvlText w:val="•"/>
      <w:lvlJc w:val="left"/>
      <w:pPr>
        <w:ind w:left="7236" w:hanging="176"/>
      </w:pPr>
      <w:rPr>
        <w:rFonts w:hint="default"/>
        <w:lang w:val="el-GR" w:eastAsia="en-US" w:bidi="ar-SA"/>
      </w:rPr>
    </w:lvl>
    <w:lvl w:ilvl="8" w:tplc="BDC49CCC">
      <w:numFmt w:val="bullet"/>
      <w:lvlText w:val="•"/>
      <w:lvlJc w:val="left"/>
      <w:pPr>
        <w:ind w:left="8213" w:hanging="176"/>
      </w:pPr>
      <w:rPr>
        <w:rFonts w:hint="default"/>
        <w:lang w:val="el-GR" w:eastAsia="en-US" w:bidi="ar-SA"/>
      </w:rPr>
    </w:lvl>
  </w:abstractNum>
  <w:abstractNum w:abstractNumId="15">
    <w:nsid w:val="7C214056"/>
    <w:multiLevelType w:val="hybridMultilevel"/>
    <w:tmpl w:val="C42C6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  <w:num w:numId="16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59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302"/>
    <w:rsid w:val="000017DA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3DC8"/>
    <w:rsid w:val="00024687"/>
    <w:rsid w:val="00024BB5"/>
    <w:rsid w:val="00026B66"/>
    <w:rsid w:val="00030B7E"/>
    <w:rsid w:val="00036045"/>
    <w:rsid w:val="0003699A"/>
    <w:rsid w:val="00037E33"/>
    <w:rsid w:val="00037F1E"/>
    <w:rsid w:val="00040CDE"/>
    <w:rsid w:val="000413CA"/>
    <w:rsid w:val="00047AA0"/>
    <w:rsid w:val="00050E6E"/>
    <w:rsid w:val="000518E1"/>
    <w:rsid w:val="0005483D"/>
    <w:rsid w:val="00057215"/>
    <w:rsid w:val="000573CB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962A4"/>
    <w:rsid w:val="000A0D8E"/>
    <w:rsid w:val="000A68BD"/>
    <w:rsid w:val="000A6F0B"/>
    <w:rsid w:val="000B1583"/>
    <w:rsid w:val="000B247B"/>
    <w:rsid w:val="000B32D2"/>
    <w:rsid w:val="000B4F9B"/>
    <w:rsid w:val="000C0BED"/>
    <w:rsid w:val="000C0DB4"/>
    <w:rsid w:val="000C2832"/>
    <w:rsid w:val="000C3A73"/>
    <w:rsid w:val="000C64C5"/>
    <w:rsid w:val="000D0350"/>
    <w:rsid w:val="000D053A"/>
    <w:rsid w:val="000D1D65"/>
    <w:rsid w:val="000E0AA3"/>
    <w:rsid w:val="000E1B84"/>
    <w:rsid w:val="000E1FFC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4B9D"/>
    <w:rsid w:val="00125038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EE5"/>
    <w:rsid w:val="00155F11"/>
    <w:rsid w:val="00157175"/>
    <w:rsid w:val="001577EF"/>
    <w:rsid w:val="00157A71"/>
    <w:rsid w:val="0016159F"/>
    <w:rsid w:val="0016399A"/>
    <w:rsid w:val="00164C80"/>
    <w:rsid w:val="00182DEC"/>
    <w:rsid w:val="0019405B"/>
    <w:rsid w:val="00194722"/>
    <w:rsid w:val="00197661"/>
    <w:rsid w:val="001A3DC8"/>
    <w:rsid w:val="001A481E"/>
    <w:rsid w:val="001A738A"/>
    <w:rsid w:val="001B049B"/>
    <w:rsid w:val="001B2912"/>
    <w:rsid w:val="001B7132"/>
    <w:rsid w:val="001B7B8E"/>
    <w:rsid w:val="001C0D23"/>
    <w:rsid w:val="001C11B6"/>
    <w:rsid w:val="001C5C43"/>
    <w:rsid w:val="001C6B24"/>
    <w:rsid w:val="001D029A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2632"/>
    <w:rsid w:val="00207820"/>
    <w:rsid w:val="00207FF6"/>
    <w:rsid w:val="00210184"/>
    <w:rsid w:val="00212CAC"/>
    <w:rsid w:val="00213AB5"/>
    <w:rsid w:val="00213E73"/>
    <w:rsid w:val="00215D21"/>
    <w:rsid w:val="002163BE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52AAE"/>
    <w:rsid w:val="00253B9E"/>
    <w:rsid w:val="00255C9F"/>
    <w:rsid w:val="00256D3C"/>
    <w:rsid w:val="00257B14"/>
    <w:rsid w:val="002601B1"/>
    <w:rsid w:val="00262009"/>
    <w:rsid w:val="00275CC1"/>
    <w:rsid w:val="00275D5E"/>
    <w:rsid w:val="002773DA"/>
    <w:rsid w:val="00277743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58"/>
    <w:rsid w:val="002A5772"/>
    <w:rsid w:val="002B43B5"/>
    <w:rsid w:val="002B5434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136"/>
    <w:rsid w:val="00301399"/>
    <w:rsid w:val="003025EF"/>
    <w:rsid w:val="00305DE2"/>
    <w:rsid w:val="003074FE"/>
    <w:rsid w:val="0031214D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2A43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2BA"/>
    <w:rsid w:val="00373F91"/>
    <w:rsid w:val="0037400A"/>
    <w:rsid w:val="003815F0"/>
    <w:rsid w:val="003818B2"/>
    <w:rsid w:val="00384268"/>
    <w:rsid w:val="003866AB"/>
    <w:rsid w:val="003866DB"/>
    <w:rsid w:val="003907FF"/>
    <w:rsid w:val="00393555"/>
    <w:rsid w:val="003947BE"/>
    <w:rsid w:val="003A1E88"/>
    <w:rsid w:val="003A2720"/>
    <w:rsid w:val="003A3FC2"/>
    <w:rsid w:val="003A4C37"/>
    <w:rsid w:val="003A743D"/>
    <w:rsid w:val="003A75A7"/>
    <w:rsid w:val="003A7EAF"/>
    <w:rsid w:val="003B07EA"/>
    <w:rsid w:val="003B17E9"/>
    <w:rsid w:val="003B1D1F"/>
    <w:rsid w:val="003B3429"/>
    <w:rsid w:val="003B5930"/>
    <w:rsid w:val="003B65D5"/>
    <w:rsid w:val="003B7B13"/>
    <w:rsid w:val="003B7D5C"/>
    <w:rsid w:val="003C235F"/>
    <w:rsid w:val="003C4A77"/>
    <w:rsid w:val="003C52F0"/>
    <w:rsid w:val="003D0A0B"/>
    <w:rsid w:val="003D4108"/>
    <w:rsid w:val="003D5223"/>
    <w:rsid w:val="003D6A63"/>
    <w:rsid w:val="003E1559"/>
    <w:rsid w:val="003E3562"/>
    <w:rsid w:val="003F419B"/>
    <w:rsid w:val="003F71ED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5B19"/>
    <w:rsid w:val="00436102"/>
    <w:rsid w:val="0044354A"/>
    <w:rsid w:val="0044667E"/>
    <w:rsid w:val="00447548"/>
    <w:rsid w:val="00453239"/>
    <w:rsid w:val="00456D12"/>
    <w:rsid w:val="00457EEC"/>
    <w:rsid w:val="00460418"/>
    <w:rsid w:val="004607A1"/>
    <w:rsid w:val="0046203A"/>
    <w:rsid w:val="00463DBE"/>
    <w:rsid w:val="004650CA"/>
    <w:rsid w:val="0046763E"/>
    <w:rsid w:val="004700D6"/>
    <w:rsid w:val="004719EA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6FEA"/>
    <w:rsid w:val="004B7126"/>
    <w:rsid w:val="004C0DA4"/>
    <w:rsid w:val="004C2678"/>
    <w:rsid w:val="004C3F33"/>
    <w:rsid w:val="004D06BB"/>
    <w:rsid w:val="004D0FF0"/>
    <w:rsid w:val="004D32F5"/>
    <w:rsid w:val="004E07FE"/>
    <w:rsid w:val="004E31B4"/>
    <w:rsid w:val="004E4D03"/>
    <w:rsid w:val="004E79BF"/>
    <w:rsid w:val="004F2105"/>
    <w:rsid w:val="004F2B8B"/>
    <w:rsid w:val="004F330D"/>
    <w:rsid w:val="00501B63"/>
    <w:rsid w:val="0050406B"/>
    <w:rsid w:val="005040FD"/>
    <w:rsid w:val="0050786A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2776A"/>
    <w:rsid w:val="00531436"/>
    <w:rsid w:val="005317A5"/>
    <w:rsid w:val="005358F8"/>
    <w:rsid w:val="005379C8"/>
    <w:rsid w:val="00540D5A"/>
    <w:rsid w:val="00541283"/>
    <w:rsid w:val="00541C48"/>
    <w:rsid w:val="00547183"/>
    <w:rsid w:val="005475D6"/>
    <w:rsid w:val="005523D5"/>
    <w:rsid w:val="005525BF"/>
    <w:rsid w:val="00554F44"/>
    <w:rsid w:val="0055529D"/>
    <w:rsid w:val="00557809"/>
    <w:rsid w:val="00561EC7"/>
    <w:rsid w:val="00562F2A"/>
    <w:rsid w:val="00563C78"/>
    <w:rsid w:val="00570C36"/>
    <w:rsid w:val="00575879"/>
    <w:rsid w:val="005815DF"/>
    <w:rsid w:val="00581B97"/>
    <w:rsid w:val="00582DA8"/>
    <w:rsid w:val="005901BF"/>
    <w:rsid w:val="00590D93"/>
    <w:rsid w:val="00595671"/>
    <w:rsid w:val="005A7C2D"/>
    <w:rsid w:val="005B0894"/>
    <w:rsid w:val="005B252C"/>
    <w:rsid w:val="005B38AA"/>
    <w:rsid w:val="005B4AE6"/>
    <w:rsid w:val="005B55CE"/>
    <w:rsid w:val="005C09C6"/>
    <w:rsid w:val="005C2306"/>
    <w:rsid w:val="005C3D1C"/>
    <w:rsid w:val="005C44F5"/>
    <w:rsid w:val="005C4E4B"/>
    <w:rsid w:val="005C6EBF"/>
    <w:rsid w:val="005C737A"/>
    <w:rsid w:val="005C7438"/>
    <w:rsid w:val="005D20FD"/>
    <w:rsid w:val="005D2212"/>
    <w:rsid w:val="005D264F"/>
    <w:rsid w:val="005D406C"/>
    <w:rsid w:val="005D5AD5"/>
    <w:rsid w:val="005D7223"/>
    <w:rsid w:val="005D7714"/>
    <w:rsid w:val="005E00DD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79F8"/>
    <w:rsid w:val="0060147E"/>
    <w:rsid w:val="0060224B"/>
    <w:rsid w:val="00603C92"/>
    <w:rsid w:val="00607865"/>
    <w:rsid w:val="006148EF"/>
    <w:rsid w:val="00620870"/>
    <w:rsid w:val="006210AC"/>
    <w:rsid w:val="00622FDB"/>
    <w:rsid w:val="00625FF1"/>
    <w:rsid w:val="006276DD"/>
    <w:rsid w:val="0063029B"/>
    <w:rsid w:val="00631478"/>
    <w:rsid w:val="00632014"/>
    <w:rsid w:val="006348A7"/>
    <w:rsid w:val="006409B8"/>
    <w:rsid w:val="006433B4"/>
    <w:rsid w:val="00644406"/>
    <w:rsid w:val="00645374"/>
    <w:rsid w:val="00656B89"/>
    <w:rsid w:val="006600F0"/>
    <w:rsid w:val="006609BD"/>
    <w:rsid w:val="00675B57"/>
    <w:rsid w:val="00676E69"/>
    <w:rsid w:val="00677AE1"/>
    <w:rsid w:val="0068596E"/>
    <w:rsid w:val="00685B01"/>
    <w:rsid w:val="006908AC"/>
    <w:rsid w:val="00694E11"/>
    <w:rsid w:val="006A208D"/>
    <w:rsid w:val="006A3839"/>
    <w:rsid w:val="006A5921"/>
    <w:rsid w:val="006A6165"/>
    <w:rsid w:val="006A654E"/>
    <w:rsid w:val="006A6F00"/>
    <w:rsid w:val="006A7705"/>
    <w:rsid w:val="006B4B46"/>
    <w:rsid w:val="006B53FE"/>
    <w:rsid w:val="006B5A74"/>
    <w:rsid w:val="006C0FC5"/>
    <w:rsid w:val="006C1CE4"/>
    <w:rsid w:val="006C1F0C"/>
    <w:rsid w:val="006C4E3A"/>
    <w:rsid w:val="006C4FDE"/>
    <w:rsid w:val="006C72CA"/>
    <w:rsid w:val="006D31EF"/>
    <w:rsid w:val="006D389C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07B9F"/>
    <w:rsid w:val="007100F2"/>
    <w:rsid w:val="00711486"/>
    <w:rsid w:val="00711B26"/>
    <w:rsid w:val="007121BC"/>
    <w:rsid w:val="00715AED"/>
    <w:rsid w:val="00716C20"/>
    <w:rsid w:val="00716D95"/>
    <w:rsid w:val="0072025A"/>
    <w:rsid w:val="0072586B"/>
    <w:rsid w:val="007267D8"/>
    <w:rsid w:val="00731EC0"/>
    <w:rsid w:val="00734FD7"/>
    <w:rsid w:val="00737C1A"/>
    <w:rsid w:val="00741E52"/>
    <w:rsid w:val="00742345"/>
    <w:rsid w:val="007447BA"/>
    <w:rsid w:val="00745967"/>
    <w:rsid w:val="007465AC"/>
    <w:rsid w:val="00746C9E"/>
    <w:rsid w:val="00751587"/>
    <w:rsid w:val="00751ACD"/>
    <w:rsid w:val="00752897"/>
    <w:rsid w:val="00752C50"/>
    <w:rsid w:val="007544DE"/>
    <w:rsid w:val="0075753E"/>
    <w:rsid w:val="0076270B"/>
    <w:rsid w:val="007638BA"/>
    <w:rsid w:val="00771E32"/>
    <w:rsid w:val="00773B66"/>
    <w:rsid w:val="007740A4"/>
    <w:rsid w:val="0077551A"/>
    <w:rsid w:val="007810CC"/>
    <w:rsid w:val="0078173D"/>
    <w:rsid w:val="00781989"/>
    <w:rsid w:val="00781E5E"/>
    <w:rsid w:val="0078379B"/>
    <w:rsid w:val="0078420A"/>
    <w:rsid w:val="007862B6"/>
    <w:rsid w:val="00787046"/>
    <w:rsid w:val="00791E77"/>
    <w:rsid w:val="007932EA"/>
    <w:rsid w:val="00793445"/>
    <w:rsid w:val="00795CA1"/>
    <w:rsid w:val="00797659"/>
    <w:rsid w:val="007A0B9D"/>
    <w:rsid w:val="007A552F"/>
    <w:rsid w:val="007A6ECE"/>
    <w:rsid w:val="007A7C17"/>
    <w:rsid w:val="007B136A"/>
    <w:rsid w:val="007B179E"/>
    <w:rsid w:val="007B473C"/>
    <w:rsid w:val="007B582E"/>
    <w:rsid w:val="007B603B"/>
    <w:rsid w:val="007C1CDE"/>
    <w:rsid w:val="007C29DF"/>
    <w:rsid w:val="007C3188"/>
    <w:rsid w:val="007C3E34"/>
    <w:rsid w:val="007C6610"/>
    <w:rsid w:val="007D26EA"/>
    <w:rsid w:val="007D5016"/>
    <w:rsid w:val="007E0C09"/>
    <w:rsid w:val="007E1D56"/>
    <w:rsid w:val="007E3368"/>
    <w:rsid w:val="007E36A2"/>
    <w:rsid w:val="007E4199"/>
    <w:rsid w:val="007E4764"/>
    <w:rsid w:val="007F1488"/>
    <w:rsid w:val="007F4902"/>
    <w:rsid w:val="007F6A93"/>
    <w:rsid w:val="007F772A"/>
    <w:rsid w:val="00800440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1AFF"/>
    <w:rsid w:val="00833173"/>
    <w:rsid w:val="0083683D"/>
    <w:rsid w:val="0084115C"/>
    <w:rsid w:val="00845ACF"/>
    <w:rsid w:val="00846B24"/>
    <w:rsid w:val="00847484"/>
    <w:rsid w:val="00860C7A"/>
    <w:rsid w:val="0086369D"/>
    <w:rsid w:val="0086636B"/>
    <w:rsid w:val="0086743E"/>
    <w:rsid w:val="0087175E"/>
    <w:rsid w:val="00872A1B"/>
    <w:rsid w:val="00875FDB"/>
    <w:rsid w:val="00876772"/>
    <w:rsid w:val="00877DA5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D5888"/>
    <w:rsid w:val="008D6D84"/>
    <w:rsid w:val="008E0542"/>
    <w:rsid w:val="008E0956"/>
    <w:rsid w:val="008E1AE0"/>
    <w:rsid w:val="008E4426"/>
    <w:rsid w:val="008F1A92"/>
    <w:rsid w:val="008F24BC"/>
    <w:rsid w:val="008F35DC"/>
    <w:rsid w:val="008F55B8"/>
    <w:rsid w:val="008F6F2D"/>
    <w:rsid w:val="009001CA"/>
    <w:rsid w:val="00901BC6"/>
    <w:rsid w:val="0090451E"/>
    <w:rsid w:val="00906695"/>
    <w:rsid w:val="009075A9"/>
    <w:rsid w:val="009076FC"/>
    <w:rsid w:val="00910965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2C5D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077AF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6C70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60B5E"/>
    <w:rsid w:val="00A6157E"/>
    <w:rsid w:val="00A620C9"/>
    <w:rsid w:val="00A62C78"/>
    <w:rsid w:val="00A66046"/>
    <w:rsid w:val="00A66AE8"/>
    <w:rsid w:val="00A66EC6"/>
    <w:rsid w:val="00A67893"/>
    <w:rsid w:val="00A7181B"/>
    <w:rsid w:val="00A72C8E"/>
    <w:rsid w:val="00A7417C"/>
    <w:rsid w:val="00A743A8"/>
    <w:rsid w:val="00A74B1D"/>
    <w:rsid w:val="00A74FE5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393"/>
    <w:rsid w:val="00A9356B"/>
    <w:rsid w:val="00AA02F8"/>
    <w:rsid w:val="00AA11DC"/>
    <w:rsid w:val="00AA40CD"/>
    <w:rsid w:val="00AA4FDF"/>
    <w:rsid w:val="00AB1E16"/>
    <w:rsid w:val="00AB1EE8"/>
    <w:rsid w:val="00AB2A41"/>
    <w:rsid w:val="00AB55B3"/>
    <w:rsid w:val="00AB58C9"/>
    <w:rsid w:val="00AC338A"/>
    <w:rsid w:val="00AC3937"/>
    <w:rsid w:val="00AC5DC6"/>
    <w:rsid w:val="00AC6041"/>
    <w:rsid w:val="00AD0358"/>
    <w:rsid w:val="00AD4011"/>
    <w:rsid w:val="00AD61E2"/>
    <w:rsid w:val="00AD6747"/>
    <w:rsid w:val="00AE0BE3"/>
    <w:rsid w:val="00AE14E6"/>
    <w:rsid w:val="00AE3885"/>
    <w:rsid w:val="00AE6423"/>
    <w:rsid w:val="00AE6A35"/>
    <w:rsid w:val="00AF0837"/>
    <w:rsid w:val="00AF3901"/>
    <w:rsid w:val="00AF6C0A"/>
    <w:rsid w:val="00B00607"/>
    <w:rsid w:val="00B00830"/>
    <w:rsid w:val="00B00D84"/>
    <w:rsid w:val="00B0265B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D39"/>
    <w:rsid w:val="00B324EF"/>
    <w:rsid w:val="00B33551"/>
    <w:rsid w:val="00B33C08"/>
    <w:rsid w:val="00B34D75"/>
    <w:rsid w:val="00B354CB"/>
    <w:rsid w:val="00B35CFE"/>
    <w:rsid w:val="00B37559"/>
    <w:rsid w:val="00B376C1"/>
    <w:rsid w:val="00B410E2"/>
    <w:rsid w:val="00B433D3"/>
    <w:rsid w:val="00B43889"/>
    <w:rsid w:val="00B468F0"/>
    <w:rsid w:val="00B470FC"/>
    <w:rsid w:val="00B523B0"/>
    <w:rsid w:val="00B534D9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25C3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6FAD"/>
    <w:rsid w:val="00BD0947"/>
    <w:rsid w:val="00BD1E4D"/>
    <w:rsid w:val="00BD45A5"/>
    <w:rsid w:val="00BE3A82"/>
    <w:rsid w:val="00BE72A6"/>
    <w:rsid w:val="00BE740D"/>
    <w:rsid w:val="00BF070A"/>
    <w:rsid w:val="00BF1AE3"/>
    <w:rsid w:val="00BF273F"/>
    <w:rsid w:val="00BF355B"/>
    <w:rsid w:val="00BF3750"/>
    <w:rsid w:val="00BF42FA"/>
    <w:rsid w:val="00BF4CEB"/>
    <w:rsid w:val="00C03E0B"/>
    <w:rsid w:val="00C11E3B"/>
    <w:rsid w:val="00C11EE2"/>
    <w:rsid w:val="00C1449D"/>
    <w:rsid w:val="00C14D61"/>
    <w:rsid w:val="00C1591D"/>
    <w:rsid w:val="00C16B68"/>
    <w:rsid w:val="00C17652"/>
    <w:rsid w:val="00C21018"/>
    <w:rsid w:val="00C215FD"/>
    <w:rsid w:val="00C2227D"/>
    <w:rsid w:val="00C2247C"/>
    <w:rsid w:val="00C27638"/>
    <w:rsid w:val="00C27C4A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5779D"/>
    <w:rsid w:val="00C60F86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7A5"/>
    <w:rsid w:val="00D32BD7"/>
    <w:rsid w:val="00D33641"/>
    <w:rsid w:val="00D33A3D"/>
    <w:rsid w:val="00D35220"/>
    <w:rsid w:val="00D37CEF"/>
    <w:rsid w:val="00D40967"/>
    <w:rsid w:val="00D40E9E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57A38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42A"/>
    <w:rsid w:val="00D77569"/>
    <w:rsid w:val="00D778BB"/>
    <w:rsid w:val="00D826B9"/>
    <w:rsid w:val="00D84CB9"/>
    <w:rsid w:val="00D85909"/>
    <w:rsid w:val="00D86F7C"/>
    <w:rsid w:val="00D871EE"/>
    <w:rsid w:val="00D91989"/>
    <w:rsid w:val="00D921E8"/>
    <w:rsid w:val="00D926D9"/>
    <w:rsid w:val="00D939C3"/>
    <w:rsid w:val="00D96429"/>
    <w:rsid w:val="00DA1016"/>
    <w:rsid w:val="00DA1725"/>
    <w:rsid w:val="00DA189B"/>
    <w:rsid w:val="00DA49C4"/>
    <w:rsid w:val="00DA6994"/>
    <w:rsid w:val="00DA6F9E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2CD1"/>
    <w:rsid w:val="00DE2FFE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0E9B"/>
    <w:rsid w:val="00E23994"/>
    <w:rsid w:val="00E2646B"/>
    <w:rsid w:val="00E278A9"/>
    <w:rsid w:val="00E32326"/>
    <w:rsid w:val="00E34208"/>
    <w:rsid w:val="00E3451A"/>
    <w:rsid w:val="00E349BB"/>
    <w:rsid w:val="00E34D19"/>
    <w:rsid w:val="00E367EE"/>
    <w:rsid w:val="00E41426"/>
    <w:rsid w:val="00E424AE"/>
    <w:rsid w:val="00E4380B"/>
    <w:rsid w:val="00E45205"/>
    <w:rsid w:val="00E46298"/>
    <w:rsid w:val="00E4636C"/>
    <w:rsid w:val="00E5091C"/>
    <w:rsid w:val="00E513BA"/>
    <w:rsid w:val="00E607CD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E82"/>
    <w:rsid w:val="00E93F40"/>
    <w:rsid w:val="00EA6500"/>
    <w:rsid w:val="00EB2A5A"/>
    <w:rsid w:val="00EB6A2D"/>
    <w:rsid w:val="00EC13A7"/>
    <w:rsid w:val="00EC16E9"/>
    <w:rsid w:val="00EC2D2D"/>
    <w:rsid w:val="00EC5BFD"/>
    <w:rsid w:val="00EC65A8"/>
    <w:rsid w:val="00ED006E"/>
    <w:rsid w:val="00ED358B"/>
    <w:rsid w:val="00ED3BDA"/>
    <w:rsid w:val="00ED5223"/>
    <w:rsid w:val="00ED5455"/>
    <w:rsid w:val="00ED57AC"/>
    <w:rsid w:val="00ED583E"/>
    <w:rsid w:val="00ED6923"/>
    <w:rsid w:val="00EE2013"/>
    <w:rsid w:val="00EF0B85"/>
    <w:rsid w:val="00EF1ADD"/>
    <w:rsid w:val="00EF3352"/>
    <w:rsid w:val="00EF7126"/>
    <w:rsid w:val="00EF7AED"/>
    <w:rsid w:val="00F01822"/>
    <w:rsid w:val="00F019B5"/>
    <w:rsid w:val="00F01B5D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0B1B"/>
    <w:rsid w:val="00F62956"/>
    <w:rsid w:val="00F70462"/>
    <w:rsid w:val="00F71546"/>
    <w:rsid w:val="00F72AC5"/>
    <w:rsid w:val="00F74868"/>
    <w:rsid w:val="00F758DE"/>
    <w:rsid w:val="00F8042F"/>
    <w:rsid w:val="00F8177C"/>
    <w:rsid w:val="00F8233F"/>
    <w:rsid w:val="00F834B6"/>
    <w:rsid w:val="00F83916"/>
    <w:rsid w:val="00F87014"/>
    <w:rsid w:val="00F90229"/>
    <w:rsid w:val="00F93F6E"/>
    <w:rsid w:val="00F94ABC"/>
    <w:rsid w:val="00FA2DCE"/>
    <w:rsid w:val="00FA43E3"/>
    <w:rsid w:val="00FA6EAD"/>
    <w:rsid w:val="00FB0E23"/>
    <w:rsid w:val="00FB2184"/>
    <w:rsid w:val="00FB2FFE"/>
    <w:rsid w:val="00FC234A"/>
    <w:rsid w:val="00FC3CFB"/>
    <w:rsid w:val="00FC45E7"/>
    <w:rsid w:val="00FC5473"/>
    <w:rsid w:val="00FC58C9"/>
    <w:rsid w:val="00FC58E5"/>
    <w:rsid w:val="00FE5FE1"/>
    <w:rsid w:val="00FE5FFD"/>
    <w:rsid w:val="00FE6A5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qFormat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uiPriority w:val="1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uiPriority w:val="99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qFormat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uiPriority w:val="1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uiPriority w:val="99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qFormat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qFormat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qFormat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qFormat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qFormat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61">
    <w:name w:val="Παράγραφος λίστας6"/>
    <w:basedOn w:val="a"/>
    <w:rsid w:val="006433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customStyle="1" w:styleId="1f1">
    <w:name w:val="Αριθμός σελίδας1"/>
    <w:basedOn w:val="a0"/>
    <w:qFormat/>
    <w:rsid w:val="0031214D"/>
  </w:style>
  <w:style w:type="paragraph" w:styleId="44">
    <w:name w:val="List Bullet 4"/>
    <w:basedOn w:val="a"/>
    <w:uiPriority w:val="99"/>
    <w:unhideWhenUsed/>
    <w:rsid w:val="0031214D"/>
    <w:pPr>
      <w:ind w:left="849" w:hanging="283"/>
      <w:contextualSpacing/>
    </w:pPr>
  </w:style>
  <w:style w:type="table" w:customStyle="1" w:styleId="TableNormal">
    <w:name w:val="Table Normal"/>
    <w:uiPriority w:val="2"/>
    <w:semiHidden/>
    <w:unhideWhenUsed/>
    <w:qFormat/>
    <w:rsid w:val="003121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214D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fontstyle01">
    <w:name w:val="fontstyle01"/>
    <w:basedOn w:val="a0"/>
    <w:rsid w:val="003121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214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1214D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3121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1214D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61">
    <w:name w:val="fontstyle61"/>
    <w:basedOn w:val="a0"/>
    <w:rsid w:val="0031214D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ff1">
    <w:name w:val="Title"/>
    <w:basedOn w:val="a"/>
    <w:link w:val="Char9"/>
    <w:uiPriority w:val="1"/>
    <w:qFormat/>
    <w:rsid w:val="0031214D"/>
    <w:pPr>
      <w:widowControl w:val="0"/>
      <w:suppressAutoHyphens w:val="0"/>
      <w:autoSpaceDE w:val="0"/>
      <w:autoSpaceDN w:val="0"/>
      <w:spacing w:before="10"/>
      <w:ind w:left="60"/>
    </w:pPr>
    <w:rPr>
      <w:lang w:eastAsia="en-US"/>
    </w:rPr>
  </w:style>
  <w:style w:type="character" w:customStyle="1" w:styleId="Char9">
    <w:name w:val="Τίτλος Char"/>
    <w:basedOn w:val="a0"/>
    <w:link w:val="aff1"/>
    <w:uiPriority w:val="1"/>
    <w:rsid w:val="0031214D"/>
    <w:rPr>
      <w:sz w:val="24"/>
      <w:szCs w:val="24"/>
      <w:lang w:eastAsia="en-US"/>
    </w:rPr>
  </w:style>
  <w:style w:type="paragraph" w:customStyle="1" w:styleId="240">
    <w:name w:val="Σώμα κείμενου 24"/>
    <w:basedOn w:val="a"/>
    <w:rsid w:val="008D5888"/>
    <w:rPr>
      <w:rFonts w:ascii="Arial" w:hAnsi="Arial" w:cs="Arial"/>
      <w:kern w:val="1"/>
      <w:szCs w:val="20"/>
      <w:lang w:eastAsia="el-GR"/>
    </w:rPr>
  </w:style>
  <w:style w:type="paragraph" w:customStyle="1" w:styleId="29">
    <w:name w:val="Παράγραφος λίστας2"/>
    <w:basedOn w:val="a"/>
    <w:rsid w:val="008D5888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BD34-1298-413C-86EB-F83FEDA4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2095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2024-02-09T06:23:00Z</cp:lastPrinted>
  <dcterms:created xsi:type="dcterms:W3CDTF">2024-02-21T08:54:00Z</dcterms:created>
  <dcterms:modified xsi:type="dcterms:W3CDTF">2024-02-21T09:47:00Z</dcterms:modified>
</cp:coreProperties>
</file>