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2661F0" w:rsidRDefault="007E1D76" w:rsidP="007A214D">
      <w:pPr>
        <w:suppressAutoHyphens w:val="0"/>
        <w:autoSpaceDE w:val="0"/>
        <w:spacing w:line="276" w:lineRule="auto"/>
        <w:rPr>
          <w:sz w:val="22"/>
          <w:szCs w:val="22"/>
        </w:rPr>
      </w:pPr>
      <w:r w:rsidRPr="002661F0">
        <w:rPr>
          <w:rFonts w:ascii="Arial" w:eastAsia="Arial" w:hAnsi="Arial" w:cs="Arial"/>
          <w:b/>
          <w:bCs/>
          <w:sz w:val="22"/>
          <w:szCs w:val="22"/>
        </w:rPr>
        <w:t xml:space="preserve">                                                                                         </w:t>
      </w:r>
      <w:r w:rsidR="003C557E" w:rsidRPr="002661F0">
        <w:rPr>
          <w:rFonts w:ascii="Arial" w:eastAsia="Arial" w:hAnsi="Arial" w:cs="Arial"/>
          <w:b/>
          <w:bCs/>
          <w:sz w:val="22"/>
          <w:szCs w:val="22"/>
        </w:rPr>
        <w:t xml:space="preserve">   </w:t>
      </w:r>
      <w:r w:rsidRPr="002661F0">
        <w:rPr>
          <w:rFonts w:ascii="Arial" w:eastAsia="Arial" w:hAnsi="Arial" w:cs="Arial"/>
          <w:b/>
          <w:bCs/>
          <w:sz w:val="22"/>
          <w:szCs w:val="22"/>
        </w:rPr>
        <w:t xml:space="preserve">   </w:t>
      </w:r>
    </w:p>
    <w:p w:rsidR="00713033" w:rsidRPr="002661F0" w:rsidRDefault="009D0C12" w:rsidP="00AC4193">
      <w:pPr>
        <w:suppressAutoHyphens w:val="0"/>
        <w:autoSpaceDE w:val="0"/>
        <w:rPr>
          <w:rFonts w:ascii="Arial" w:hAnsi="Arial" w:cs="Arial"/>
          <w:b/>
          <w:sz w:val="22"/>
          <w:szCs w:val="22"/>
        </w:rPr>
      </w:pPr>
      <w:r w:rsidRPr="002661F0">
        <w:rPr>
          <w:rFonts w:ascii="Arial" w:eastAsia="Arial" w:hAnsi="Arial" w:cs="Arial"/>
          <w:b/>
          <w:bCs/>
          <w:sz w:val="22"/>
          <w:szCs w:val="22"/>
        </w:rPr>
        <w:t xml:space="preserve">    </w:t>
      </w:r>
      <w:r w:rsidR="008D639D" w:rsidRPr="002661F0">
        <w:rPr>
          <w:rFonts w:ascii="Arial" w:eastAsia="Arial" w:hAnsi="Arial" w:cs="Arial"/>
          <w:b/>
          <w:bCs/>
          <w:sz w:val="22"/>
          <w:szCs w:val="22"/>
        </w:rPr>
        <w:t xml:space="preserve">                              </w:t>
      </w:r>
      <w:r w:rsidR="00AC4193" w:rsidRPr="002661F0">
        <w:rPr>
          <w:rFonts w:ascii="Arial" w:eastAsia="Arial" w:hAnsi="Arial" w:cs="Arial"/>
          <w:b/>
          <w:bCs/>
          <w:sz w:val="22"/>
          <w:szCs w:val="22"/>
        </w:rPr>
        <w:t xml:space="preserve">                            </w:t>
      </w:r>
      <w:r w:rsidR="00713033" w:rsidRPr="002661F0">
        <w:rPr>
          <w:rFonts w:ascii="Arial" w:hAnsi="Arial" w:cs="Arial"/>
          <w:b/>
          <w:sz w:val="22"/>
          <w:szCs w:val="22"/>
        </w:rPr>
        <w:t>ΑΠΟΣΠΑΣΜΑ</w:t>
      </w:r>
    </w:p>
    <w:p w:rsidR="00713033" w:rsidRPr="002661F0" w:rsidRDefault="00713033" w:rsidP="00713033">
      <w:pPr>
        <w:jc w:val="center"/>
        <w:rPr>
          <w:rFonts w:ascii="Arial" w:hAnsi="Arial" w:cs="Arial"/>
          <w:b/>
          <w:sz w:val="22"/>
          <w:szCs w:val="22"/>
        </w:rPr>
      </w:pPr>
      <w:r w:rsidRPr="002661F0">
        <w:rPr>
          <w:rFonts w:ascii="Arial" w:hAnsi="Arial" w:cs="Arial"/>
          <w:b/>
          <w:sz w:val="22"/>
          <w:szCs w:val="22"/>
        </w:rPr>
        <w:t xml:space="preserve">Από το πρακτικό της </w:t>
      </w:r>
      <w:proofErr w:type="spellStart"/>
      <w:r w:rsidRPr="002661F0">
        <w:rPr>
          <w:rFonts w:ascii="Arial" w:hAnsi="Arial" w:cs="Arial"/>
          <w:b/>
          <w:sz w:val="22"/>
          <w:szCs w:val="22"/>
        </w:rPr>
        <w:t>αριθμ</w:t>
      </w:r>
      <w:proofErr w:type="spellEnd"/>
      <w:r w:rsidRPr="002661F0">
        <w:rPr>
          <w:rFonts w:ascii="Arial" w:hAnsi="Arial" w:cs="Arial"/>
          <w:b/>
          <w:sz w:val="22"/>
          <w:szCs w:val="22"/>
        </w:rPr>
        <w:t xml:space="preserve">. </w:t>
      </w:r>
      <w:r w:rsidR="0014301D">
        <w:rPr>
          <w:rFonts w:ascii="Arial" w:hAnsi="Arial" w:cs="Arial"/>
          <w:b/>
          <w:sz w:val="22"/>
          <w:szCs w:val="22"/>
        </w:rPr>
        <w:t>26</w:t>
      </w:r>
      <w:r w:rsidRPr="002661F0">
        <w:rPr>
          <w:rFonts w:ascii="Arial" w:hAnsi="Arial" w:cs="Arial"/>
          <w:b/>
          <w:sz w:val="22"/>
          <w:szCs w:val="22"/>
          <w:vertAlign w:val="superscript"/>
        </w:rPr>
        <w:t>ης</w:t>
      </w:r>
      <w:r w:rsidRPr="002661F0">
        <w:rPr>
          <w:rFonts w:ascii="Arial" w:hAnsi="Arial" w:cs="Arial"/>
          <w:b/>
          <w:sz w:val="22"/>
          <w:szCs w:val="22"/>
        </w:rPr>
        <w:t xml:space="preserve">  /202</w:t>
      </w:r>
      <w:r w:rsidR="004556CE" w:rsidRPr="002661F0">
        <w:rPr>
          <w:rFonts w:ascii="Arial" w:hAnsi="Arial" w:cs="Arial"/>
          <w:b/>
          <w:sz w:val="22"/>
          <w:szCs w:val="22"/>
        </w:rPr>
        <w:t>3</w:t>
      </w:r>
      <w:r w:rsidRPr="002661F0">
        <w:rPr>
          <w:rFonts w:ascii="Arial" w:hAnsi="Arial" w:cs="Arial"/>
          <w:b/>
          <w:sz w:val="22"/>
          <w:szCs w:val="22"/>
        </w:rPr>
        <w:t xml:space="preserve">  Τ</w:t>
      </w:r>
      <w:r w:rsidR="00D93BBE">
        <w:rPr>
          <w:rFonts w:ascii="Arial" w:hAnsi="Arial" w:cs="Arial"/>
          <w:b/>
          <w:sz w:val="22"/>
          <w:szCs w:val="22"/>
        </w:rPr>
        <w:t>ακτικής</w:t>
      </w:r>
      <w:r w:rsidRPr="002661F0">
        <w:rPr>
          <w:rFonts w:ascii="Arial" w:hAnsi="Arial" w:cs="Arial"/>
          <w:sz w:val="22"/>
          <w:szCs w:val="22"/>
        </w:rPr>
        <w:t xml:space="preserve"> </w:t>
      </w:r>
      <w:r w:rsidRPr="002661F0">
        <w:rPr>
          <w:rFonts w:ascii="Arial" w:hAnsi="Arial" w:cs="Arial"/>
          <w:b/>
          <w:sz w:val="22"/>
          <w:szCs w:val="22"/>
        </w:rPr>
        <w:t xml:space="preserve">  Συνεδρίασης</w:t>
      </w:r>
    </w:p>
    <w:p w:rsidR="00713033" w:rsidRPr="002661F0" w:rsidRDefault="00713033" w:rsidP="00713033">
      <w:pPr>
        <w:rPr>
          <w:rFonts w:ascii="Arial" w:hAnsi="Arial" w:cs="Arial"/>
          <w:b/>
          <w:sz w:val="22"/>
          <w:szCs w:val="22"/>
        </w:rPr>
      </w:pPr>
      <w:r w:rsidRPr="002661F0">
        <w:rPr>
          <w:rFonts w:ascii="Arial" w:eastAsia="Arial" w:hAnsi="Arial" w:cs="Arial"/>
          <w:b/>
          <w:sz w:val="22"/>
          <w:szCs w:val="22"/>
        </w:rPr>
        <w:t xml:space="preserve">                                      </w:t>
      </w:r>
      <w:r w:rsidRPr="002661F0">
        <w:rPr>
          <w:rFonts w:ascii="Arial" w:hAnsi="Arial" w:cs="Arial"/>
          <w:b/>
          <w:sz w:val="22"/>
          <w:szCs w:val="22"/>
        </w:rPr>
        <w:t xml:space="preserve">της  Οικονομικής Επιτροπής  Δήμου </w:t>
      </w:r>
      <w:proofErr w:type="spellStart"/>
      <w:r w:rsidRPr="002661F0">
        <w:rPr>
          <w:rFonts w:ascii="Arial" w:hAnsi="Arial" w:cs="Arial"/>
          <w:b/>
          <w:sz w:val="22"/>
          <w:szCs w:val="22"/>
        </w:rPr>
        <w:t>Λεβαδέων</w:t>
      </w:r>
      <w:proofErr w:type="spellEnd"/>
    </w:p>
    <w:p w:rsidR="00B607E2" w:rsidRPr="002661F0" w:rsidRDefault="00B607E2" w:rsidP="00713033">
      <w:pPr>
        <w:rPr>
          <w:rFonts w:ascii="Arial" w:hAnsi="Arial" w:cs="Arial"/>
          <w:b/>
          <w:sz w:val="22"/>
          <w:szCs w:val="22"/>
        </w:rPr>
      </w:pPr>
    </w:p>
    <w:p w:rsidR="0001734B" w:rsidRPr="002661F0" w:rsidRDefault="0001734B" w:rsidP="00B607E2">
      <w:pPr>
        <w:jc w:val="center"/>
        <w:rPr>
          <w:rFonts w:ascii="Arial" w:hAnsi="Arial" w:cs="Arial"/>
          <w:b/>
          <w:sz w:val="22"/>
          <w:szCs w:val="22"/>
        </w:rPr>
      </w:pPr>
      <w:r w:rsidRPr="002661F0">
        <w:rPr>
          <w:rFonts w:ascii="Arial" w:hAnsi="Arial" w:cs="Arial"/>
          <w:b/>
          <w:sz w:val="22"/>
          <w:szCs w:val="22"/>
        </w:rPr>
        <w:t xml:space="preserve">Αριθμός απόφασης : </w:t>
      </w:r>
      <w:r w:rsidR="0014301D">
        <w:rPr>
          <w:rFonts w:ascii="Arial" w:hAnsi="Arial" w:cs="Arial"/>
          <w:b/>
          <w:sz w:val="22"/>
          <w:szCs w:val="22"/>
        </w:rPr>
        <w:t>23</w:t>
      </w:r>
      <w:r w:rsidR="00A03BC8">
        <w:rPr>
          <w:rFonts w:ascii="Arial" w:hAnsi="Arial" w:cs="Arial"/>
          <w:b/>
          <w:sz w:val="22"/>
          <w:szCs w:val="22"/>
        </w:rPr>
        <w:t>4</w:t>
      </w:r>
      <w:r w:rsidRPr="002661F0">
        <w:rPr>
          <w:rFonts w:ascii="Arial" w:hAnsi="Arial" w:cs="Arial"/>
          <w:b/>
          <w:sz w:val="22"/>
          <w:szCs w:val="22"/>
        </w:rPr>
        <w:t xml:space="preserve"> </w:t>
      </w:r>
    </w:p>
    <w:p w:rsidR="007B4842" w:rsidRPr="007B4842" w:rsidRDefault="007B4842" w:rsidP="007B4842">
      <w:pPr>
        <w:jc w:val="both"/>
        <w:rPr>
          <w:rFonts w:ascii="Arial" w:hAnsi="Arial" w:cs="Arial"/>
          <w:b/>
          <w:b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7B4842">
        <w:rPr>
          <w:rFonts w:ascii="Arial" w:hAnsi="Arial" w:cs="Arial"/>
          <w:b/>
          <w:bCs/>
          <w:sz w:val="22"/>
          <w:szCs w:val="22"/>
        </w:rPr>
        <w:t>Καθορισμός όρων διακήρυξης του ηλεκτρονικού ανοικτού διαγωνισμού άνω των ορίων, με τίτλο:  ΕΝΕΡΓΕΙΑΚΗ ΑΝΑΒΑΘΜΙΣΗ ΚΑΙ ΕΚΣΥΓΧΡΟΝΙΣΜΟΣ ΥΠΟΔΟΜΩΝ ΕΓΓΕΙΩΝ ΒΕΛΤΙΩΣΕΩΝ ΤΟΥ ΔΗΜΟΥ   ΛΕΒΑΔΕΩΝ</w:t>
      </w:r>
      <w:r w:rsidRPr="007B4842">
        <w:rPr>
          <w:rFonts w:ascii="Arial" w:hAnsi="Arial" w:cs="Arial"/>
          <w:b/>
          <w:sz w:val="22"/>
          <w:szCs w:val="22"/>
        </w:rPr>
        <w:t xml:space="preserve">» </w:t>
      </w:r>
      <w:r w:rsidRPr="007B4842">
        <w:rPr>
          <w:rFonts w:ascii="Arial" w:hAnsi="Arial" w:cs="Arial"/>
          <w:b/>
          <w:bCs/>
          <w:sz w:val="22"/>
          <w:szCs w:val="22"/>
        </w:rPr>
        <w:t xml:space="preserve">, </w:t>
      </w:r>
      <w:r w:rsidRPr="007B4842">
        <w:rPr>
          <w:rFonts w:ascii="Arial" w:eastAsia="Cambria" w:hAnsi="Arial" w:cs="Arial"/>
          <w:b/>
          <w:sz w:val="22"/>
          <w:szCs w:val="22"/>
        </w:rPr>
        <w:t>ενδεικτικού προϋπολογισμού</w:t>
      </w:r>
      <w:r w:rsidRPr="007B4842">
        <w:rPr>
          <w:rFonts w:ascii="Arial" w:eastAsia="Cambria" w:hAnsi="Arial" w:cs="Arial"/>
          <w:b/>
          <w:color w:val="666666"/>
          <w:sz w:val="22"/>
          <w:szCs w:val="22"/>
        </w:rPr>
        <w:t xml:space="preserve"> </w:t>
      </w:r>
      <w:r w:rsidRPr="007B4842">
        <w:rPr>
          <w:rFonts w:ascii="Arial" w:eastAsia="Cambria" w:hAnsi="Arial" w:cs="Arial"/>
          <w:b/>
          <w:bCs/>
          <w:sz w:val="22"/>
          <w:szCs w:val="22"/>
        </w:rPr>
        <w:t>1.012.700,00</w:t>
      </w:r>
      <w:r w:rsidRPr="007B4842">
        <w:rPr>
          <w:rFonts w:ascii="Arial" w:eastAsia="Cambria" w:hAnsi="Arial" w:cs="Arial"/>
          <w:b/>
          <w:bCs/>
          <w:color w:val="0000FF"/>
          <w:sz w:val="22"/>
          <w:szCs w:val="22"/>
        </w:rPr>
        <w:t xml:space="preserve"> </w:t>
      </w:r>
      <w:r w:rsidRPr="007B4842">
        <w:rPr>
          <w:rFonts w:ascii="Arial" w:eastAsia="Cambria" w:hAnsi="Arial" w:cs="Arial"/>
          <w:b/>
          <w:bCs/>
          <w:sz w:val="22"/>
          <w:szCs w:val="22"/>
        </w:rPr>
        <w:t>€ ,</w:t>
      </w:r>
      <w:r w:rsidRPr="007B4842">
        <w:rPr>
          <w:rFonts w:ascii="Arial" w:hAnsi="Arial" w:cs="Arial"/>
          <w:b/>
          <w:bCs/>
          <w:sz w:val="22"/>
          <w:szCs w:val="22"/>
        </w:rPr>
        <w:t xml:space="preserve"> </w:t>
      </w:r>
      <w:r w:rsidRPr="007B4842">
        <w:rPr>
          <w:rFonts w:ascii="Arial" w:eastAsia="Cambria" w:hAnsi="Arial" w:cs="Arial"/>
          <w:b/>
          <w:sz w:val="22"/>
          <w:szCs w:val="22"/>
        </w:rPr>
        <w:t xml:space="preserve"> χωρίς Φ.Π.Α</w:t>
      </w:r>
      <w:r w:rsidRPr="007B4842">
        <w:rPr>
          <w:rFonts w:ascii="Arial" w:hAnsi="Arial" w:cs="Arial"/>
          <w:b/>
          <w:sz w:val="22"/>
          <w:szCs w:val="22"/>
        </w:rPr>
        <w:t>. (</w:t>
      </w:r>
      <w:r w:rsidRPr="007B4842">
        <w:rPr>
          <w:rFonts w:ascii="Arial" w:hAnsi="Arial" w:cs="Arial"/>
          <w:b/>
          <w:bCs/>
          <w:sz w:val="22"/>
          <w:szCs w:val="22"/>
        </w:rPr>
        <w:t>1.255.748,00</w:t>
      </w:r>
      <w:r w:rsidRPr="007B4842">
        <w:rPr>
          <w:rFonts w:ascii="Arial" w:hAnsi="Arial" w:cs="Arial"/>
          <w:b/>
          <w:sz w:val="22"/>
          <w:szCs w:val="22"/>
        </w:rPr>
        <w:t xml:space="preserve"> € με   Φ.Π.Α. 24%)</w:t>
      </w:r>
      <w:r w:rsidRPr="007B4842">
        <w:rPr>
          <w:rFonts w:ascii="Arial" w:hAnsi="Arial" w:cs="Arial"/>
          <w:b/>
          <w:bCs/>
          <w:sz w:val="22"/>
          <w:szCs w:val="22"/>
        </w:rPr>
        <w:t>.</w:t>
      </w:r>
    </w:p>
    <w:p w:rsidR="00A03BC8" w:rsidRDefault="00A03BC8" w:rsidP="00A03BC8">
      <w:pPr>
        <w:pStyle w:val="Default"/>
        <w:widowControl/>
        <w:suppressAutoHyphens w:val="0"/>
        <w:autoSpaceDN w:val="0"/>
        <w:adjustRightInd w:val="0"/>
        <w:rPr>
          <w:rFonts w:eastAsia="SimSun"/>
          <w:spacing w:val="2"/>
          <w:sz w:val="22"/>
          <w:szCs w:val="22"/>
          <w:lang w:val="el-GR" w:bidi="hi-IN"/>
        </w:rPr>
      </w:pPr>
    </w:p>
    <w:p w:rsidR="005E36E0" w:rsidRPr="0055251A" w:rsidRDefault="005E36E0" w:rsidP="00A03BC8">
      <w:pPr>
        <w:pStyle w:val="Default"/>
        <w:widowControl/>
        <w:suppressAutoHyphens w:val="0"/>
        <w:autoSpaceDN w:val="0"/>
        <w:adjustRightInd w:val="0"/>
        <w:rPr>
          <w:sz w:val="22"/>
          <w:szCs w:val="22"/>
          <w:lang w:val="el-GR"/>
        </w:rPr>
      </w:pPr>
      <w:r w:rsidRPr="00A03BC8">
        <w:rPr>
          <w:sz w:val="22"/>
          <w:szCs w:val="22"/>
          <w:lang w:val="el-GR"/>
        </w:rPr>
        <w:t xml:space="preserve">            Στη Λιβαδειά σήμερα  7</w:t>
      </w:r>
      <w:r w:rsidRPr="00A03BC8">
        <w:rPr>
          <w:sz w:val="22"/>
          <w:szCs w:val="22"/>
          <w:vertAlign w:val="superscript"/>
          <w:lang w:val="el-GR"/>
        </w:rPr>
        <w:t>η</w:t>
      </w:r>
      <w:r w:rsidRPr="00A03BC8">
        <w:rPr>
          <w:sz w:val="22"/>
          <w:szCs w:val="22"/>
          <w:lang w:val="el-GR"/>
        </w:rPr>
        <w:t xml:space="preserve">  </w:t>
      </w:r>
      <w:r w:rsidR="0014301D" w:rsidRPr="00A03BC8">
        <w:rPr>
          <w:sz w:val="22"/>
          <w:szCs w:val="22"/>
          <w:lang w:val="el-GR"/>
        </w:rPr>
        <w:t>Νοεμβρίου</w:t>
      </w:r>
      <w:r w:rsidRPr="00A03BC8">
        <w:rPr>
          <w:sz w:val="22"/>
          <w:szCs w:val="22"/>
          <w:lang w:val="el-GR"/>
        </w:rPr>
        <w:t xml:space="preserve">  2023  ημέρα   </w:t>
      </w:r>
      <w:r w:rsidR="0014301D" w:rsidRPr="00A03BC8">
        <w:rPr>
          <w:sz w:val="22"/>
          <w:szCs w:val="22"/>
          <w:lang w:val="el-GR"/>
        </w:rPr>
        <w:t>Τρίτη</w:t>
      </w:r>
      <w:r w:rsidRPr="00A03BC8">
        <w:rPr>
          <w:sz w:val="22"/>
          <w:szCs w:val="22"/>
          <w:lang w:val="el-GR"/>
        </w:rPr>
        <w:t xml:space="preserve"> , ώρα 1</w:t>
      </w:r>
      <w:r w:rsidR="0014301D" w:rsidRPr="00A03BC8">
        <w:rPr>
          <w:sz w:val="22"/>
          <w:szCs w:val="22"/>
          <w:lang w:val="el-GR"/>
        </w:rPr>
        <w:t>4</w:t>
      </w:r>
      <w:r w:rsidRPr="00A03BC8">
        <w:rPr>
          <w:sz w:val="22"/>
          <w:szCs w:val="22"/>
          <w:lang w:val="el-GR"/>
        </w:rPr>
        <w:t xml:space="preserve">,00  και στην αίθουσα συνεδριάσεων του Δημοτικού Συμβουλίου  </w:t>
      </w:r>
      <w:proofErr w:type="spellStart"/>
      <w:r w:rsidRPr="00A03BC8">
        <w:rPr>
          <w:sz w:val="22"/>
          <w:szCs w:val="22"/>
          <w:lang w:val="el-GR"/>
        </w:rPr>
        <w:t>Λεβαδέων</w:t>
      </w:r>
      <w:proofErr w:type="spellEnd"/>
      <w:r w:rsidRPr="00A03BC8">
        <w:rPr>
          <w:sz w:val="22"/>
          <w:szCs w:val="22"/>
          <w:lang w:val="el-GR"/>
        </w:rPr>
        <w:t xml:space="preserve"> στο Παλαιό Δημαρχείο – Πλατεία Εθνικής Αντίστασης συνεδρίασε η Οικονομική Επιτροπή Δήμου </w:t>
      </w:r>
      <w:proofErr w:type="spellStart"/>
      <w:r w:rsidRPr="00A03BC8">
        <w:rPr>
          <w:sz w:val="22"/>
          <w:szCs w:val="22"/>
          <w:lang w:val="el-GR"/>
        </w:rPr>
        <w:t>Λεβαδέων</w:t>
      </w:r>
      <w:proofErr w:type="spellEnd"/>
      <w:r w:rsidRPr="00A03BC8">
        <w:rPr>
          <w:sz w:val="22"/>
          <w:szCs w:val="22"/>
          <w:lang w:val="el-GR"/>
        </w:rPr>
        <w:t xml:space="preserve"> μετά την από  </w:t>
      </w:r>
      <w:r w:rsidR="00E67721" w:rsidRPr="00A03BC8">
        <w:rPr>
          <w:rFonts w:eastAsia="Arial"/>
          <w:sz w:val="22"/>
          <w:szCs w:val="22"/>
          <w:lang w:val="el-GR"/>
        </w:rPr>
        <w:t xml:space="preserve">αριθ. </w:t>
      </w:r>
      <w:proofErr w:type="spellStart"/>
      <w:r w:rsidR="00E67721" w:rsidRPr="00A03BC8">
        <w:rPr>
          <w:rFonts w:eastAsia="Arial"/>
          <w:sz w:val="22"/>
          <w:szCs w:val="22"/>
          <w:lang w:val="el-GR"/>
        </w:rPr>
        <w:t>πρωτ</w:t>
      </w:r>
      <w:proofErr w:type="spellEnd"/>
      <w:r w:rsidR="00E67721" w:rsidRPr="00A03BC8">
        <w:rPr>
          <w:rFonts w:eastAsia="Arial"/>
          <w:sz w:val="22"/>
          <w:szCs w:val="22"/>
          <w:lang w:val="el-GR"/>
        </w:rPr>
        <w:t xml:space="preserve">. </w:t>
      </w:r>
      <w:r w:rsidR="0014301D" w:rsidRPr="0055251A">
        <w:rPr>
          <w:rFonts w:eastAsia="Arial"/>
          <w:sz w:val="22"/>
          <w:szCs w:val="22"/>
          <w:lang w:val="el-GR"/>
        </w:rPr>
        <w:t>21471</w:t>
      </w:r>
      <w:r w:rsidR="00E67721" w:rsidRPr="0055251A">
        <w:rPr>
          <w:sz w:val="22"/>
          <w:szCs w:val="22"/>
          <w:lang w:val="el-GR"/>
        </w:rPr>
        <w:t>/03-</w:t>
      </w:r>
      <w:r w:rsidR="0014301D" w:rsidRPr="0055251A">
        <w:rPr>
          <w:sz w:val="22"/>
          <w:szCs w:val="22"/>
          <w:lang w:val="el-GR"/>
        </w:rPr>
        <w:t>11</w:t>
      </w:r>
      <w:r w:rsidR="00E67721" w:rsidRPr="0055251A">
        <w:rPr>
          <w:sz w:val="22"/>
          <w:szCs w:val="22"/>
          <w:lang w:val="el-GR"/>
        </w:rPr>
        <w:t xml:space="preserve">-2023 έγγραφη πρόσκληση </w:t>
      </w:r>
      <w:r w:rsidRPr="0055251A">
        <w:rPr>
          <w:sz w:val="22"/>
          <w:szCs w:val="22"/>
          <w:lang w:val="el-GR"/>
        </w:rPr>
        <w:t xml:space="preserve">του  Προέδρου της (Δημάρχου </w:t>
      </w:r>
      <w:proofErr w:type="spellStart"/>
      <w:r w:rsidRPr="0055251A">
        <w:rPr>
          <w:sz w:val="22"/>
          <w:szCs w:val="22"/>
          <w:lang w:val="el-GR"/>
        </w:rPr>
        <w:t>Λεβαδέων</w:t>
      </w:r>
      <w:proofErr w:type="spellEnd"/>
      <w:r w:rsidRPr="0055251A">
        <w:rPr>
          <w:sz w:val="22"/>
          <w:szCs w:val="22"/>
          <w:lang w:val="el-GR"/>
        </w:rPr>
        <w:t>) σε εφαρμογή των διατάξεων α) Του άρθρου 77 του Ν. 4555/2018 , β)Των  διατάξεων του  άρθρου 40 του Ν.4735/2020 που αντικατέστησε το άρθρο 72 το</w:t>
      </w:r>
      <w:r w:rsidRPr="0055251A">
        <w:rPr>
          <w:bCs/>
          <w:sz w:val="22"/>
          <w:szCs w:val="22"/>
          <w:lang w:val="el-GR"/>
        </w:rPr>
        <w:t>υ  .3852/2</w:t>
      </w:r>
      <w:r w:rsidRPr="0055251A">
        <w:rPr>
          <w:rFonts w:eastAsia="Verdana"/>
          <w:bCs/>
          <w:iCs/>
          <w:sz w:val="22"/>
          <w:szCs w:val="22"/>
          <w:lang w:val="el-GR"/>
        </w:rPr>
        <w:t xml:space="preserve">010 </w:t>
      </w:r>
      <w:r w:rsidRPr="0055251A">
        <w:rPr>
          <w:sz w:val="22"/>
          <w:szCs w:val="22"/>
          <w:lang w:val="el-GR"/>
        </w:rPr>
        <w:t>γ) Των</w:t>
      </w:r>
      <w:r w:rsidRPr="0055251A">
        <w:rPr>
          <w:bCs/>
          <w:sz w:val="22"/>
          <w:szCs w:val="22"/>
          <w:lang w:val="el-GR"/>
        </w:rPr>
        <w:t xml:space="preserve"> διατάξεων της </w:t>
      </w:r>
      <w:proofErr w:type="spellStart"/>
      <w:r w:rsidRPr="0055251A">
        <w:rPr>
          <w:bCs/>
          <w:sz w:val="22"/>
          <w:szCs w:val="22"/>
          <w:lang w:val="el-GR"/>
        </w:rPr>
        <w:t>υπ΄αριθμ</w:t>
      </w:r>
      <w:proofErr w:type="spellEnd"/>
      <w:r w:rsidRPr="0055251A">
        <w:rPr>
          <w:bCs/>
          <w:sz w:val="22"/>
          <w:szCs w:val="22"/>
          <w:lang w:val="el-GR"/>
        </w:rPr>
        <w:t xml:space="preserve"> 374/2022</w:t>
      </w:r>
      <w:r w:rsidRPr="0055251A">
        <w:rPr>
          <w:bCs/>
          <w:sz w:val="22"/>
          <w:szCs w:val="22"/>
          <w:u w:val="single"/>
          <w:lang w:val="el-GR"/>
        </w:rPr>
        <w:t xml:space="preserve"> εγκυκλίου του ΥΠ.ΕΣ. (ΑΔΑ: ΨΜΓΓ46ΜΤΛ6-Φ75) </w:t>
      </w:r>
      <w:r w:rsidRPr="0055251A">
        <w:rPr>
          <w:bCs/>
          <w:sz w:val="22"/>
          <w:szCs w:val="22"/>
          <w:lang w:val="el-GR"/>
        </w:rPr>
        <w:t>«Λειτουργία Οικονομικής Επιτροπής και Επιτροπής Ποιότητας Ζωής</w:t>
      </w:r>
      <w:r w:rsidRPr="0055251A">
        <w:rPr>
          <w:sz w:val="22"/>
          <w:szCs w:val="22"/>
          <w:lang w:val="el-GR"/>
        </w:rPr>
        <w:t>» δ) Των διατάξεων του Ν. 5013/2023</w:t>
      </w:r>
    </w:p>
    <w:p w:rsidR="005E36E0" w:rsidRDefault="005E36E0" w:rsidP="005E36E0">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5E36E0" w:rsidRDefault="005E36E0" w:rsidP="005E36E0">
      <w:pPr>
        <w:ind w:left="432" w:hanging="432"/>
        <w:rPr>
          <w:rFonts w:ascii="Arial" w:hAnsi="Arial" w:cs="Arial"/>
          <w:sz w:val="22"/>
          <w:szCs w:val="22"/>
        </w:rPr>
      </w:pPr>
    </w:p>
    <w:p w:rsidR="005E36E0" w:rsidRDefault="005E36E0" w:rsidP="005E36E0">
      <w:pPr>
        <w:ind w:left="432" w:hanging="432"/>
        <w:jc w:val="both"/>
        <w:rPr>
          <w:rFonts w:ascii="Arial" w:hAnsi="Arial" w:cs="Arial"/>
          <w:sz w:val="22"/>
          <w:szCs w:val="22"/>
        </w:rPr>
      </w:pPr>
    </w:p>
    <w:p w:rsidR="005E36E0" w:rsidRDefault="005E36E0" w:rsidP="005E36E0">
      <w:pPr>
        <w:jc w:val="both"/>
        <w:rPr>
          <w:rFonts w:ascii="Arial" w:hAnsi="Arial" w:cs="Arial"/>
          <w:b/>
          <w:sz w:val="22"/>
          <w:szCs w:val="22"/>
        </w:rPr>
      </w:pPr>
      <w:r>
        <w:rPr>
          <w:rFonts w:ascii="Arial" w:hAnsi="Arial" w:cs="Arial"/>
          <w:b/>
          <w:sz w:val="22"/>
          <w:szCs w:val="22"/>
        </w:rPr>
        <w:tab/>
        <w:t xml:space="preserve">                  ΠΑΡΟΝΤΕΣ                                                                 ΑΠΟΝΤΕΣ</w:t>
      </w:r>
    </w:p>
    <w:p w:rsidR="005E36E0" w:rsidRDefault="005E36E0" w:rsidP="005E36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r w:rsidR="000F6560">
        <w:rPr>
          <w:rFonts w:ascii="Arial" w:hAnsi="Arial" w:cs="Arial"/>
          <w:sz w:val="22"/>
          <w:szCs w:val="22"/>
        </w:rPr>
        <w:t xml:space="preserve"> </w:t>
      </w:r>
      <w:proofErr w:type="spellStart"/>
      <w:r w:rsidR="00EF06D3">
        <w:rPr>
          <w:rFonts w:ascii="Arial" w:hAnsi="Arial" w:cs="Arial"/>
          <w:sz w:val="22"/>
          <w:szCs w:val="22"/>
        </w:rPr>
        <w:t>Μητάς</w:t>
      </w:r>
      <w:proofErr w:type="spellEnd"/>
      <w:r w:rsidR="00EF06D3">
        <w:rPr>
          <w:rFonts w:ascii="Arial" w:hAnsi="Arial" w:cs="Arial"/>
          <w:sz w:val="22"/>
          <w:szCs w:val="22"/>
        </w:rPr>
        <w:t xml:space="preserve"> Αλέξανδρος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2</w:t>
      </w:r>
      <w:r w:rsidR="00507A6E">
        <w:rPr>
          <w:rFonts w:ascii="Arial" w:hAnsi="Arial" w:cs="Arial"/>
          <w:sz w:val="22"/>
          <w:szCs w:val="22"/>
        </w:rPr>
        <w:t>.</w:t>
      </w:r>
      <w:r w:rsidR="00EF06D3" w:rsidRPr="000F6560">
        <w:rPr>
          <w:rFonts w:ascii="Arial" w:hAnsi="Arial" w:cs="Arial"/>
          <w:sz w:val="22"/>
          <w:szCs w:val="22"/>
        </w:rPr>
        <w:t xml:space="preserve"> </w:t>
      </w:r>
      <w:proofErr w:type="gramStart"/>
      <w:r w:rsidR="00EF06D3">
        <w:rPr>
          <w:rFonts w:ascii="Arial" w:hAnsi="Arial" w:cs="Arial"/>
          <w:sz w:val="22"/>
          <w:szCs w:val="22"/>
          <w:lang w:val="en-US"/>
        </w:rPr>
        <w:t>K</w:t>
      </w:r>
      <w:proofErr w:type="spellStart"/>
      <w:r w:rsidR="00EF06D3">
        <w:rPr>
          <w:rFonts w:ascii="Arial" w:hAnsi="Arial" w:cs="Arial"/>
          <w:sz w:val="22"/>
          <w:szCs w:val="22"/>
        </w:rPr>
        <w:t>αλογρηάς</w:t>
      </w:r>
      <w:proofErr w:type="spellEnd"/>
      <w:r w:rsidR="00EF06D3">
        <w:rPr>
          <w:rFonts w:ascii="Arial" w:hAnsi="Arial" w:cs="Arial"/>
          <w:sz w:val="22"/>
          <w:szCs w:val="22"/>
        </w:rPr>
        <w:t xml:space="preserve"> Αθανάσιος                                                      </w:t>
      </w:r>
      <w:r>
        <w:rPr>
          <w:rFonts w:ascii="Arial" w:hAnsi="Arial" w:cs="Arial"/>
          <w:sz w:val="22"/>
          <w:szCs w:val="22"/>
        </w:rPr>
        <w:t>2.</w:t>
      </w:r>
      <w:proofErr w:type="gramEnd"/>
      <w:r>
        <w:rPr>
          <w:rFonts w:ascii="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3.</w:t>
      </w:r>
      <w:r w:rsidR="00EF06D3">
        <w:rPr>
          <w:rFonts w:ascii="Arial" w:hAnsi="Arial" w:cs="Arial"/>
          <w:sz w:val="22"/>
          <w:szCs w:val="22"/>
        </w:rPr>
        <w:t xml:space="preserve">Σαγιάννης Μιχαήλ                                                            </w:t>
      </w:r>
      <w:r w:rsidR="000F6560">
        <w:rPr>
          <w:rFonts w:ascii="Arial" w:hAnsi="Arial" w:cs="Arial"/>
          <w:sz w:val="22"/>
          <w:szCs w:val="22"/>
        </w:rPr>
        <w:t xml:space="preserve"> </w:t>
      </w:r>
      <w:r w:rsidR="00EF06D3">
        <w:rPr>
          <w:rFonts w:ascii="Arial" w:hAnsi="Arial" w:cs="Arial"/>
          <w:sz w:val="22"/>
          <w:szCs w:val="22"/>
        </w:rPr>
        <w:t xml:space="preserve"> 3.</w:t>
      </w:r>
      <w:r w:rsidR="000F6560">
        <w:rPr>
          <w:rFonts w:ascii="Arial" w:hAnsi="Arial" w:cs="Arial"/>
          <w:sz w:val="22"/>
          <w:szCs w:val="22"/>
        </w:rPr>
        <w:t xml:space="preserve"> </w:t>
      </w:r>
      <w:r w:rsidR="00EF06D3">
        <w:rPr>
          <w:rFonts w:ascii="Arial" w:hAnsi="Arial" w:cs="Arial"/>
          <w:sz w:val="22"/>
          <w:szCs w:val="22"/>
        </w:rPr>
        <w:t xml:space="preserve"> </w:t>
      </w:r>
      <w:proofErr w:type="spellStart"/>
      <w:r w:rsidR="00EF06D3">
        <w:rPr>
          <w:rFonts w:ascii="Arial" w:hAnsi="Arial" w:cs="Arial"/>
          <w:sz w:val="22"/>
          <w:szCs w:val="22"/>
        </w:rPr>
        <w:t>Μπράλιος</w:t>
      </w:r>
      <w:proofErr w:type="spellEnd"/>
      <w:r w:rsidR="00EF06D3">
        <w:rPr>
          <w:rFonts w:ascii="Arial" w:hAnsi="Arial" w:cs="Arial"/>
          <w:sz w:val="22"/>
          <w:szCs w:val="22"/>
        </w:rPr>
        <w:t xml:space="preserve"> Νικόλαος</w:t>
      </w:r>
      <w:r>
        <w:rPr>
          <w:rFonts w:ascii="Arial" w:hAnsi="Arial" w:cs="Arial"/>
          <w:sz w:val="22"/>
          <w:szCs w:val="22"/>
        </w:rPr>
        <w:t xml:space="preserve">                                                  </w:t>
      </w:r>
      <w:r w:rsidR="00EF06D3">
        <w:rPr>
          <w:rFonts w:ascii="Arial" w:hAnsi="Arial" w:cs="Arial"/>
          <w:sz w:val="22"/>
          <w:szCs w:val="22"/>
        </w:rPr>
        <w:t xml:space="preserve">                                    4</w:t>
      </w:r>
      <w:r>
        <w:rPr>
          <w:rFonts w:ascii="Arial" w:hAnsi="Arial" w:cs="Arial"/>
          <w:sz w:val="22"/>
          <w:szCs w:val="22"/>
        </w:rPr>
        <w:t>.</w:t>
      </w:r>
      <w:r w:rsidR="00EF06D3" w:rsidRPr="00EF06D3">
        <w:rPr>
          <w:rFonts w:ascii="Arial" w:hAnsi="Arial" w:cs="Arial"/>
          <w:sz w:val="22"/>
          <w:szCs w:val="22"/>
        </w:rPr>
        <w:t xml:space="preserve"> </w:t>
      </w:r>
      <w:proofErr w:type="spellStart"/>
      <w:r w:rsidR="00EF06D3">
        <w:rPr>
          <w:rFonts w:ascii="Arial" w:hAnsi="Arial" w:cs="Arial"/>
          <w:sz w:val="22"/>
          <w:szCs w:val="22"/>
        </w:rPr>
        <w:t>Μερτζάνης</w:t>
      </w:r>
      <w:proofErr w:type="spellEnd"/>
      <w:r w:rsidR="00EF06D3">
        <w:rPr>
          <w:rFonts w:ascii="Arial" w:hAnsi="Arial" w:cs="Arial"/>
          <w:sz w:val="22"/>
          <w:szCs w:val="22"/>
        </w:rPr>
        <w:t xml:space="preserve"> </w:t>
      </w:r>
      <w:proofErr w:type="spellStart"/>
      <w:r w:rsidR="00EF06D3">
        <w:rPr>
          <w:rFonts w:ascii="Arial" w:hAnsi="Arial" w:cs="Arial"/>
          <w:sz w:val="22"/>
          <w:szCs w:val="22"/>
        </w:rPr>
        <w:t>Κωσταντίνος</w:t>
      </w:r>
      <w:proofErr w:type="spellEnd"/>
      <w:r>
        <w:rPr>
          <w:rFonts w:ascii="Arial" w:hAnsi="Arial" w:cs="Arial"/>
          <w:sz w:val="22"/>
          <w:szCs w:val="22"/>
        </w:rPr>
        <w:t xml:space="preserve">  </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5</w:t>
      </w:r>
      <w:r w:rsidR="005E36E0">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r w:rsidR="005E36E0">
        <w:rPr>
          <w:rFonts w:ascii="Arial" w:hAnsi="Arial" w:cs="Arial"/>
          <w:sz w:val="22"/>
          <w:szCs w:val="22"/>
        </w:rPr>
        <w:t>Αν και είχαν νόμιμα προσκληθεί</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6</w:t>
      </w:r>
      <w:r w:rsidR="005E36E0">
        <w:rPr>
          <w:rFonts w:ascii="Arial" w:hAnsi="Arial" w:cs="Arial"/>
          <w:sz w:val="22"/>
          <w:szCs w:val="22"/>
        </w:rPr>
        <w:t>.</w:t>
      </w:r>
      <w:r w:rsidRPr="00EF06D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5E36E0">
        <w:rPr>
          <w:rFonts w:ascii="Arial" w:hAnsi="Arial" w:cs="Arial"/>
          <w:sz w:val="22"/>
          <w:szCs w:val="22"/>
        </w:rPr>
        <w:t xml:space="preserve"> </w:t>
      </w:r>
    </w:p>
    <w:p w:rsidR="0014301D" w:rsidRDefault="0014301D" w:rsidP="005E36E0">
      <w:pPr>
        <w:tabs>
          <w:tab w:val="left" w:pos="360"/>
          <w:tab w:val="left" w:pos="6237"/>
        </w:tabs>
        <w:ind w:left="360"/>
        <w:rPr>
          <w:rFonts w:ascii="Arial" w:hAnsi="Arial" w:cs="Arial"/>
          <w:sz w:val="22"/>
          <w:szCs w:val="22"/>
        </w:rPr>
      </w:pPr>
    </w:p>
    <w:p w:rsidR="00AF5822" w:rsidRDefault="00DE377B" w:rsidP="00B96F1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r w:rsidR="00AF5822" w:rsidRPr="002661F0">
        <w:rPr>
          <w:rFonts w:ascii="Arial" w:eastAsia="Arial" w:hAnsi="Arial" w:cs="Arial"/>
          <w:sz w:val="22"/>
          <w:szCs w:val="22"/>
        </w:rPr>
        <w:t xml:space="preserve">   Ο Πρόεδρος της Οικονομικής Επιτροπής εισηγούμενος το </w:t>
      </w:r>
      <w:r w:rsidR="00324F3D">
        <w:rPr>
          <w:rFonts w:ascii="Arial" w:eastAsia="Arial" w:hAnsi="Arial" w:cs="Arial"/>
          <w:sz w:val="22"/>
          <w:szCs w:val="22"/>
        </w:rPr>
        <w:t>3</w:t>
      </w:r>
      <w:r w:rsidR="00AF5822" w:rsidRPr="002661F0">
        <w:rPr>
          <w:rFonts w:ascii="Arial" w:eastAsia="Arial" w:hAnsi="Arial" w:cs="Arial"/>
          <w:sz w:val="22"/>
          <w:szCs w:val="22"/>
          <w:vertAlign w:val="superscript"/>
        </w:rPr>
        <w:t>ο</w:t>
      </w:r>
      <w:r w:rsidR="00AF5822" w:rsidRPr="002661F0">
        <w:rPr>
          <w:rFonts w:ascii="Arial" w:eastAsia="Arial" w:hAnsi="Arial" w:cs="Arial"/>
          <w:sz w:val="22"/>
          <w:szCs w:val="22"/>
        </w:rPr>
        <w:t xml:space="preserve"> </w:t>
      </w:r>
      <w:r w:rsidR="00926B89">
        <w:rPr>
          <w:rFonts w:ascii="Arial" w:eastAsia="Arial" w:hAnsi="Arial" w:cs="Arial"/>
          <w:sz w:val="22"/>
          <w:szCs w:val="22"/>
        </w:rPr>
        <w:t xml:space="preserve"> </w:t>
      </w:r>
      <w:r w:rsidR="00AF5822" w:rsidRPr="002661F0">
        <w:rPr>
          <w:rFonts w:ascii="Arial" w:eastAsia="Arial" w:hAnsi="Arial" w:cs="Arial"/>
          <w:sz w:val="22"/>
          <w:szCs w:val="22"/>
        </w:rPr>
        <w:t xml:space="preserve">θέμα της ημερήσιας διάταξης </w:t>
      </w:r>
      <w:r w:rsidR="00E67721">
        <w:rPr>
          <w:rFonts w:ascii="Arial" w:eastAsia="Arial" w:hAnsi="Arial" w:cs="Arial"/>
          <w:sz w:val="22"/>
          <w:szCs w:val="22"/>
        </w:rPr>
        <w:t xml:space="preserve"> έθεσε</w:t>
      </w:r>
      <w:r w:rsidR="00AF5822" w:rsidRPr="002661F0">
        <w:rPr>
          <w:rFonts w:ascii="Arial" w:eastAsia="Arial" w:hAnsi="Arial" w:cs="Arial"/>
          <w:sz w:val="22"/>
          <w:szCs w:val="22"/>
        </w:rPr>
        <w:t xml:space="preserve"> υπόψη των μελών το με  </w:t>
      </w:r>
      <w:proofErr w:type="spellStart"/>
      <w:r w:rsidR="00AF5822" w:rsidRPr="002661F0">
        <w:rPr>
          <w:rFonts w:ascii="Arial" w:eastAsia="Arial" w:hAnsi="Arial" w:cs="Arial"/>
          <w:sz w:val="22"/>
          <w:szCs w:val="22"/>
        </w:rPr>
        <w:t>αριθμ</w:t>
      </w:r>
      <w:proofErr w:type="spellEnd"/>
      <w:r w:rsidR="00AF5822" w:rsidRPr="002661F0">
        <w:rPr>
          <w:rFonts w:ascii="Arial" w:eastAsia="Arial" w:hAnsi="Arial" w:cs="Arial"/>
          <w:sz w:val="22"/>
          <w:szCs w:val="22"/>
        </w:rPr>
        <w:t xml:space="preserve">. </w:t>
      </w:r>
      <w:proofErr w:type="spellStart"/>
      <w:r w:rsidR="00AF5822" w:rsidRPr="002661F0">
        <w:rPr>
          <w:rFonts w:ascii="Arial" w:eastAsia="Arial" w:hAnsi="Arial" w:cs="Arial"/>
          <w:sz w:val="22"/>
          <w:szCs w:val="22"/>
        </w:rPr>
        <w:t>πρωτ</w:t>
      </w:r>
      <w:proofErr w:type="spellEnd"/>
      <w:r w:rsidR="00AF5822" w:rsidRPr="002661F0">
        <w:rPr>
          <w:rFonts w:ascii="Arial" w:eastAsia="Arial" w:hAnsi="Arial" w:cs="Arial"/>
          <w:sz w:val="22"/>
          <w:szCs w:val="22"/>
        </w:rPr>
        <w:t xml:space="preserve">. </w:t>
      </w:r>
      <w:r w:rsidR="007A214D">
        <w:rPr>
          <w:rFonts w:ascii="Arial" w:eastAsia="Arial" w:hAnsi="Arial" w:cs="Arial"/>
          <w:sz w:val="22"/>
          <w:szCs w:val="22"/>
        </w:rPr>
        <w:t>214</w:t>
      </w:r>
      <w:r w:rsidR="00324F3D">
        <w:rPr>
          <w:rFonts w:ascii="Arial" w:eastAsia="Arial" w:hAnsi="Arial" w:cs="Arial"/>
          <w:sz w:val="22"/>
          <w:szCs w:val="22"/>
        </w:rPr>
        <w:t>36</w:t>
      </w:r>
      <w:r w:rsidR="00AF5822" w:rsidRPr="002661F0">
        <w:rPr>
          <w:rFonts w:ascii="Arial" w:eastAsia="Arial" w:hAnsi="Arial" w:cs="Arial"/>
          <w:sz w:val="22"/>
          <w:szCs w:val="22"/>
        </w:rPr>
        <w:t>/</w:t>
      </w:r>
      <w:r w:rsidR="00926B89">
        <w:rPr>
          <w:rFonts w:ascii="Arial" w:eastAsia="Arial" w:hAnsi="Arial" w:cs="Arial"/>
          <w:sz w:val="22"/>
          <w:szCs w:val="22"/>
        </w:rPr>
        <w:t>0</w:t>
      </w:r>
      <w:r w:rsidR="00324F3D">
        <w:rPr>
          <w:rFonts w:ascii="Arial" w:eastAsia="Arial" w:hAnsi="Arial" w:cs="Arial"/>
          <w:sz w:val="22"/>
          <w:szCs w:val="22"/>
        </w:rPr>
        <w:t>3</w:t>
      </w:r>
      <w:r w:rsidR="008E309F">
        <w:rPr>
          <w:rFonts w:ascii="Arial" w:eastAsia="Arial" w:hAnsi="Arial" w:cs="Arial"/>
          <w:sz w:val="22"/>
          <w:szCs w:val="22"/>
        </w:rPr>
        <w:t>-1</w:t>
      </w:r>
      <w:r w:rsidR="007A214D">
        <w:rPr>
          <w:rFonts w:ascii="Arial" w:eastAsia="Arial" w:hAnsi="Arial" w:cs="Arial"/>
          <w:sz w:val="22"/>
          <w:szCs w:val="22"/>
        </w:rPr>
        <w:t>1</w:t>
      </w:r>
      <w:r w:rsidR="00AF5822" w:rsidRPr="002661F0">
        <w:rPr>
          <w:rFonts w:ascii="Arial" w:eastAsia="Arial" w:hAnsi="Arial" w:cs="Arial"/>
          <w:sz w:val="22"/>
          <w:szCs w:val="22"/>
        </w:rPr>
        <w:t xml:space="preserve">-2023  </w:t>
      </w:r>
      <w:r w:rsidR="00AF5822" w:rsidRPr="002661F0">
        <w:rPr>
          <w:rFonts w:ascii="Arial" w:hAnsi="Arial" w:cs="Arial"/>
          <w:color w:val="000000"/>
          <w:sz w:val="22"/>
          <w:szCs w:val="22"/>
          <w:lang w:eastAsia="el-GR"/>
        </w:rPr>
        <w:t xml:space="preserve">έγγραφο </w:t>
      </w:r>
      <w:r w:rsidR="008E309F">
        <w:rPr>
          <w:rFonts w:ascii="Arial" w:eastAsia="Verdana" w:hAnsi="Arial" w:cs="Arial"/>
          <w:color w:val="000000"/>
          <w:sz w:val="22"/>
          <w:szCs w:val="22"/>
        </w:rPr>
        <w:t>τ</w:t>
      </w:r>
      <w:r w:rsidR="007A214D">
        <w:rPr>
          <w:rFonts w:ascii="Arial" w:eastAsia="Verdana" w:hAnsi="Arial" w:cs="Arial"/>
          <w:color w:val="000000"/>
          <w:sz w:val="22"/>
          <w:szCs w:val="22"/>
        </w:rPr>
        <w:t>ου Τμ. Προϋπολογισμού Λογιστηρίου &amp; Προμηθειών</w:t>
      </w:r>
      <w:r w:rsidR="00B96F13" w:rsidRPr="002661F0">
        <w:rPr>
          <w:rFonts w:ascii="Arial" w:eastAsia="Arial" w:hAnsi="Arial" w:cs="Arial"/>
          <w:sz w:val="22"/>
          <w:szCs w:val="22"/>
        </w:rPr>
        <w:t xml:space="preserve"> </w:t>
      </w:r>
      <w:r w:rsidR="00B96F13" w:rsidRPr="002661F0">
        <w:rPr>
          <w:rFonts w:ascii="Arial" w:eastAsia="Verdana" w:hAnsi="Arial" w:cs="Arial"/>
          <w:color w:val="000000"/>
          <w:sz w:val="22"/>
          <w:szCs w:val="22"/>
        </w:rPr>
        <w:t xml:space="preserve"> τ</w:t>
      </w:r>
      <w:r w:rsidR="00B96F13" w:rsidRPr="002661F0">
        <w:rPr>
          <w:rFonts w:ascii="Arial" w:hAnsi="Arial" w:cs="Arial"/>
          <w:sz w:val="22"/>
          <w:szCs w:val="22"/>
        </w:rPr>
        <w:t xml:space="preserve">ου Δήμου </w:t>
      </w:r>
      <w:proofErr w:type="spellStart"/>
      <w:r w:rsidR="00B96F13" w:rsidRPr="002661F0">
        <w:rPr>
          <w:rFonts w:ascii="Arial" w:hAnsi="Arial" w:cs="Arial"/>
          <w:sz w:val="22"/>
          <w:szCs w:val="22"/>
        </w:rPr>
        <w:t>Λεβαδέων</w:t>
      </w:r>
      <w:proofErr w:type="spellEnd"/>
      <w:r w:rsidR="00B96F13" w:rsidRPr="002661F0">
        <w:rPr>
          <w:rFonts w:ascii="Arial" w:hAnsi="Arial" w:cs="Arial"/>
          <w:sz w:val="22"/>
          <w:szCs w:val="22"/>
        </w:rPr>
        <w:t xml:space="preserve"> </w:t>
      </w:r>
      <w:r w:rsidR="00AF5822" w:rsidRPr="002661F0">
        <w:rPr>
          <w:rFonts w:ascii="Arial" w:hAnsi="Arial" w:cs="Arial"/>
          <w:sz w:val="22"/>
          <w:szCs w:val="22"/>
        </w:rPr>
        <w:t xml:space="preserve"> </w:t>
      </w:r>
      <w:r w:rsidR="00AF5822" w:rsidRPr="002661F0">
        <w:rPr>
          <w:rFonts w:ascii="Arial" w:eastAsia="Calibri" w:hAnsi="Arial" w:cs="Arial"/>
          <w:color w:val="000000"/>
          <w:kern w:val="2"/>
          <w:sz w:val="22"/>
          <w:szCs w:val="22"/>
          <w:shd w:val="clear" w:color="auto" w:fill="FFFFFF"/>
        </w:rPr>
        <w:t>στο  οποίο</w:t>
      </w:r>
      <w:r w:rsidR="00AF5822" w:rsidRPr="002661F0">
        <w:rPr>
          <w:rFonts w:ascii="Arial" w:eastAsia="Arial" w:hAnsi="Arial" w:cs="Arial"/>
          <w:sz w:val="22"/>
          <w:szCs w:val="22"/>
        </w:rPr>
        <w:t xml:space="preserve"> αναφέρονται </w:t>
      </w:r>
      <w:r w:rsidR="00AF5822" w:rsidRPr="002661F0">
        <w:rPr>
          <w:rFonts w:ascii="Arial" w:hAnsi="Arial" w:cs="Arial"/>
          <w:sz w:val="22"/>
          <w:szCs w:val="22"/>
        </w:rPr>
        <w:t>τα παρακάτω:</w:t>
      </w:r>
      <w:r w:rsidR="00AF5822" w:rsidRPr="002661F0">
        <w:rPr>
          <w:rFonts w:ascii="Arial" w:eastAsia="Arial" w:hAnsi="Arial" w:cs="Arial"/>
          <w:sz w:val="22"/>
          <w:szCs w:val="22"/>
        </w:rPr>
        <w:t xml:space="preserve">  </w:t>
      </w:r>
    </w:p>
    <w:p w:rsidR="00A03BC8" w:rsidRPr="00324F3D" w:rsidRDefault="00020678" w:rsidP="007B4842">
      <w:pPr>
        <w:spacing w:line="360" w:lineRule="auto"/>
        <w:jc w:val="both"/>
        <w:rPr>
          <w:rFonts w:ascii="Arial" w:hAnsi="Arial" w:cs="Arial"/>
          <w:i/>
          <w:sz w:val="22"/>
          <w:szCs w:val="22"/>
        </w:rPr>
      </w:pPr>
      <w:r w:rsidRPr="00324F3D">
        <w:rPr>
          <w:rFonts w:ascii="Arial" w:hAnsi="Arial" w:cs="Arial"/>
          <w:i/>
          <w:sz w:val="22"/>
          <w:szCs w:val="22"/>
          <w:lang w:eastAsia="el-GR"/>
        </w:rPr>
        <w:t xml:space="preserve">       </w:t>
      </w:r>
      <w:r w:rsidR="00A03BC8" w:rsidRPr="00324F3D">
        <w:rPr>
          <w:rFonts w:ascii="Arial" w:hAnsi="Arial" w:cs="Arial"/>
          <w:i/>
          <w:sz w:val="22"/>
          <w:szCs w:val="22"/>
        </w:rPr>
        <w:t xml:space="preserve">Με την υπ’ αριθ. 143/2022  Απόφαση της Οικονομικής Επιτροπής (ΑΔΑ:ΨΤΑΕΩΛΗ-1ΚΙ) του Δήμου </w:t>
      </w:r>
      <w:proofErr w:type="spellStart"/>
      <w:r w:rsidR="00A03BC8" w:rsidRPr="00324F3D">
        <w:rPr>
          <w:rFonts w:ascii="Arial" w:hAnsi="Arial" w:cs="Arial"/>
          <w:i/>
          <w:sz w:val="22"/>
          <w:szCs w:val="22"/>
        </w:rPr>
        <w:t>Λεβαδέων</w:t>
      </w:r>
      <w:proofErr w:type="spellEnd"/>
      <w:r w:rsidR="00A03BC8" w:rsidRPr="00324F3D">
        <w:rPr>
          <w:rFonts w:ascii="Arial" w:hAnsi="Arial" w:cs="Arial"/>
          <w:i/>
          <w:sz w:val="22"/>
          <w:szCs w:val="22"/>
        </w:rPr>
        <w:t>, αποφασίστηκε η   έγκριση των τεχνικών προδιαγραφών της υπ’ αρ</w:t>
      </w:r>
      <w:r w:rsidR="00A03BC8" w:rsidRPr="00324F3D">
        <w:rPr>
          <w:rFonts w:ascii="Arial" w:hAnsi="Arial" w:cs="Arial"/>
          <w:i/>
          <w:color w:val="000000"/>
          <w:sz w:val="22"/>
          <w:szCs w:val="22"/>
        </w:rPr>
        <w:t>. 29</w:t>
      </w:r>
      <w:r w:rsidR="00A03BC8" w:rsidRPr="00324F3D">
        <w:rPr>
          <w:rFonts w:ascii="Arial" w:hAnsi="Arial" w:cs="Arial"/>
          <w:bCs/>
          <w:i/>
          <w:color w:val="000000"/>
          <w:sz w:val="22"/>
          <w:szCs w:val="22"/>
        </w:rPr>
        <w:t>/2022</w:t>
      </w:r>
      <w:r w:rsidR="00A03BC8" w:rsidRPr="00324F3D">
        <w:rPr>
          <w:rFonts w:ascii="Arial" w:hAnsi="Arial" w:cs="Arial"/>
          <w:bCs/>
          <w:i/>
          <w:color w:val="666666"/>
          <w:sz w:val="22"/>
          <w:szCs w:val="22"/>
        </w:rPr>
        <w:t xml:space="preserve"> </w:t>
      </w:r>
      <w:r w:rsidR="00A03BC8" w:rsidRPr="00324F3D">
        <w:rPr>
          <w:rFonts w:ascii="Arial" w:hAnsi="Arial" w:cs="Arial"/>
          <w:bCs/>
          <w:i/>
          <w:sz w:val="22"/>
          <w:szCs w:val="22"/>
        </w:rPr>
        <w:t>μελέτης</w:t>
      </w:r>
      <w:r w:rsidR="00A03BC8" w:rsidRPr="00324F3D">
        <w:rPr>
          <w:rFonts w:ascii="Arial" w:hAnsi="Arial" w:cs="Arial"/>
          <w:i/>
          <w:sz w:val="22"/>
          <w:szCs w:val="22"/>
        </w:rPr>
        <w:t xml:space="preserve"> της Δ/</w:t>
      </w:r>
      <w:proofErr w:type="spellStart"/>
      <w:r w:rsidR="00A03BC8" w:rsidRPr="00324F3D">
        <w:rPr>
          <w:rFonts w:ascii="Arial" w:hAnsi="Arial" w:cs="Arial"/>
          <w:i/>
          <w:sz w:val="22"/>
          <w:szCs w:val="22"/>
        </w:rPr>
        <w:t>νσης</w:t>
      </w:r>
      <w:proofErr w:type="spellEnd"/>
      <w:r w:rsidR="00A03BC8" w:rsidRPr="00324F3D">
        <w:rPr>
          <w:rFonts w:ascii="Arial" w:hAnsi="Arial" w:cs="Arial"/>
          <w:i/>
          <w:sz w:val="22"/>
          <w:szCs w:val="22"/>
        </w:rPr>
        <w:t xml:space="preserve"> Τεχνικών Υπηρεσιών που φέρει τον τίτλο </w:t>
      </w:r>
      <w:r w:rsidR="00A03BC8" w:rsidRPr="00324F3D">
        <w:rPr>
          <w:rFonts w:ascii="Arial" w:hAnsi="Arial" w:cs="Arial"/>
          <w:bCs/>
          <w:i/>
          <w:sz w:val="22"/>
          <w:szCs w:val="22"/>
        </w:rPr>
        <w:t xml:space="preserve">«Ενεργειακή αναβάθμιση και εκσυγχρονισμός υποδομών εγγείων βελτιώσεων του Δήμου </w:t>
      </w:r>
      <w:proofErr w:type="spellStart"/>
      <w:r w:rsidR="00A03BC8" w:rsidRPr="00324F3D">
        <w:rPr>
          <w:rFonts w:ascii="Arial" w:hAnsi="Arial" w:cs="Arial"/>
          <w:bCs/>
          <w:i/>
          <w:sz w:val="22"/>
          <w:szCs w:val="22"/>
        </w:rPr>
        <w:t>Λεβαδέων</w:t>
      </w:r>
      <w:proofErr w:type="spellEnd"/>
      <w:r w:rsidR="00A03BC8" w:rsidRPr="00324F3D">
        <w:rPr>
          <w:rFonts w:ascii="Arial" w:hAnsi="Arial" w:cs="Arial"/>
          <w:i/>
          <w:sz w:val="22"/>
          <w:szCs w:val="22"/>
        </w:rPr>
        <w:t xml:space="preserve">» </w:t>
      </w:r>
      <w:r w:rsidR="00A03BC8" w:rsidRPr="00324F3D">
        <w:rPr>
          <w:rFonts w:ascii="Arial" w:hAnsi="Arial" w:cs="Arial"/>
          <w:bCs/>
          <w:i/>
          <w:sz w:val="22"/>
          <w:szCs w:val="22"/>
        </w:rPr>
        <w:t>της</w:t>
      </w:r>
      <w:r w:rsidR="00A03BC8" w:rsidRPr="00324F3D">
        <w:rPr>
          <w:rFonts w:ascii="Arial" w:hAnsi="Arial" w:cs="Arial"/>
          <w:i/>
          <w:sz w:val="22"/>
          <w:szCs w:val="22"/>
        </w:rPr>
        <w:t xml:space="preserve"> Πράξης «ΕΚΣΥΓΧΡΟΝΙΣΜΟΣ ΥΠΟΔΟΜΩΝ ΤΗΣ ΧΡΗΣΗΣ ΝΕΡΟΥ ΕΓΓΕΙΩΝ ΒΕΛΤΙΩΣΕΩΝ ΤΟΥ ΔΗΜΟΥ ΛΕΒΑΔΕΩΝ»</w:t>
      </w:r>
      <w:r w:rsidR="00A03BC8" w:rsidRPr="00324F3D">
        <w:rPr>
          <w:rFonts w:ascii="Arial" w:hAnsi="Arial" w:cs="Arial"/>
          <w:bCs/>
          <w:i/>
          <w:sz w:val="22"/>
          <w:szCs w:val="22"/>
        </w:rPr>
        <w:t xml:space="preserve">, </w:t>
      </w:r>
      <w:r w:rsidR="00A03BC8" w:rsidRPr="00324F3D">
        <w:rPr>
          <w:rFonts w:ascii="Arial" w:eastAsia="Cambria" w:hAnsi="Arial" w:cs="Arial"/>
          <w:i/>
          <w:sz w:val="22"/>
          <w:szCs w:val="22"/>
        </w:rPr>
        <w:t>ενδεικτικού προϋπολογισμού</w:t>
      </w:r>
      <w:r w:rsidR="00A03BC8" w:rsidRPr="00324F3D">
        <w:rPr>
          <w:rFonts w:ascii="Arial" w:eastAsia="Cambria" w:hAnsi="Arial" w:cs="Arial"/>
          <w:i/>
          <w:color w:val="666666"/>
          <w:sz w:val="22"/>
          <w:szCs w:val="22"/>
        </w:rPr>
        <w:t xml:space="preserve"> </w:t>
      </w:r>
      <w:r w:rsidR="00A03BC8" w:rsidRPr="00324F3D">
        <w:rPr>
          <w:rFonts w:ascii="Arial" w:eastAsia="Cambria" w:hAnsi="Arial" w:cs="Arial"/>
          <w:bCs/>
          <w:i/>
          <w:sz w:val="22"/>
          <w:szCs w:val="22"/>
        </w:rPr>
        <w:t>1.012.700,00 €</w:t>
      </w:r>
      <w:r w:rsidR="00A03BC8" w:rsidRPr="00324F3D">
        <w:rPr>
          <w:rFonts w:ascii="Arial" w:eastAsia="Cambria" w:hAnsi="Arial" w:cs="Arial"/>
          <w:i/>
          <w:sz w:val="22"/>
          <w:szCs w:val="22"/>
          <w:lang w:eastAsia="el-GR"/>
        </w:rPr>
        <w:t>,</w:t>
      </w:r>
      <w:r w:rsidR="00A03BC8" w:rsidRPr="00324F3D">
        <w:rPr>
          <w:rFonts w:ascii="Arial" w:hAnsi="Arial" w:cs="Arial"/>
          <w:i/>
          <w:sz w:val="22"/>
          <w:szCs w:val="22"/>
        </w:rPr>
        <w:t xml:space="preserve"> </w:t>
      </w:r>
      <w:r w:rsidR="00A03BC8" w:rsidRPr="00324F3D">
        <w:rPr>
          <w:rFonts w:ascii="Arial" w:eastAsia="Cambria" w:hAnsi="Arial" w:cs="Arial"/>
          <w:i/>
          <w:sz w:val="22"/>
          <w:szCs w:val="22"/>
        </w:rPr>
        <w:t xml:space="preserve"> χωρίς Φ.Π.Α</w:t>
      </w:r>
      <w:r w:rsidR="00A03BC8" w:rsidRPr="00324F3D">
        <w:rPr>
          <w:rFonts w:ascii="Arial" w:hAnsi="Arial" w:cs="Arial"/>
          <w:i/>
          <w:sz w:val="22"/>
          <w:szCs w:val="22"/>
        </w:rPr>
        <w:t xml:space="preserve">. </w:t>
      </w:r>
      <w:r w:rsidR="00A03BC8" w:rsidRPr="00324F3D">
        <w:rPr>
          <w:rFonts w:ascii="Arial" w:hAnsi="Arial" w:cs="Arial"/>
          <w:bCs/>
          <w:i/>
          <w:sz w:val="22"/>
          <w:szCs w:val="22"/>
        </w:rPr>
        <w:t xml:space="preserve">(1.255.748,00 </w:t>
      </w:r>
      <w:r w:rsidR="00A03BC8" w:rsidRPr="00324F3D">
        <w:rPr>
          <w:rFonts w:ascii="Arial" w:hAnsi="Arial" w:cs="Arial"/>
          <w:i/>
          <w:sz w:val="22"/>
          <w:szCs w:val="22"/>
        </w:rPr>
        <w:t xml:space="preserve">€ με Φ.Π.Α. 24%) καθώς και ο τρόπος εκτέλεσης της προμήθειας με </w:t>
      </w:r>
      <w:r w:rsidR="00A03BC8" w:rsidRPr="00324F3D">
        <w:rPr>
          <w:rFonts w:ascii="Arial" w:hAnsi="Arial" w:cs="Arial"/>
          <w:bCs/>
          <w:i/>
          <w:sz w:val="22"/>
          <w:szCs w:val="22"/>
        </w:rPr>
        <w:t>ηλεκτρονικό ανοικτό διαγωνισμό άνω των ορίων</w:t>
      </w:r>
      <w:r w:rsidR="00A03BC8" w:rsidRPr="00324F3D">
        <w:rPr>
          <w:rFonts w:ascii="Arial" w:hAnsi="Arial" w:cs="Arial"/>
          <w:i/>
          <w:sz w:val="22"/>
          <w:szCs w:val="22"/>
        </w:rPr>
        <w:t>.</w:t>
      </w:r>
    </w:p>
    <w:p w:rsidR="00A03BC8" w:rsidRPr="00324F3D" w:rsidRDefault="00A03BC8" w:rsidP="00A03BC8">
      <w:pPr>
        <w:pStyle w:val="normalwithoutspacing"/>
        <w:spacing w:line="360" w:lineRule="auto"/>
        <w:rPr>
          <w:rFonts w:ascii="Arial" w:hAnsi="Arial" w:cs="Arial"/>
          <w:i/>
          <w:szCs w:val="22"/>
        </w:rPr>
      </w:pPr>
      <w:r w:rsidRPr="00324F3D">
        <w:rPr>
          <w:rFonts w:ascii="Arial" w:hAnsi="Arial" w:cs="Arial"/>
          <w:i/>
          <w:szCs w:val="22"/>
        </w:rPr>
        <w:t xml:space="preserve">Με το υπ’ αρ. </w:t>
      </w:r>
      <w:r w:rsidRPr="00324F3D">
        <w:rPr>
          <w:rFonts w:ascii="Arial" w:hAnsi="Arial" w:cs="Arial"/>
          <w:bCs/>
          <w:i/>
          <w:szCs w:val="22"/>
        </w:rPr>
        <w:t>10717/01-06-2023</w:t>
      </w:r>
      <w:r w:rsidRPr="00324F3D">
        <w:rPr>
          <w:rFonts w:ascii="Arial" w:eastAsia="Cambria" w:hAnsi="Arial" w:cs="Arial"/>
          <w:i/>
          <w:color w:val="FF0000"/>
          <w:szCs w:val="22"/>
        </w:rPr>
        <w:t xml:space="preserve"> </w:t>
      </w:r>
      <w:r w:rsidRPr="00324F3D">
        <w:rPr>
          <w:rFonts w:ascii="Arial" w:eastAsia="Cambria" w:hAnsi="Arial" w:cs="Arial"/>
          <w:i/>
          <w:szCs w:val="22"/>
        </w:rPr>
        <w:t xml:space="preserve">Πρωτογενές Αίτημα ( ΑΔΑΜ: </w:t>
      </w:r>
      <w:r w:rsidRPr="00324F3D">
        <w:rPr>
          <w:rFonts w:ascii="Arial" w:hAnsi="Arial" w:cs="Arial"/>
          <w:bCs/>
          <w:i/>
          <w:szCs w:val="22"/>
        </w:rPr>
        <w:t>23REQ012799144</w:t>
      </w:r>
      <w:r w:rsidRPr="00324F3D">
        <w:rPr>
          <w:rFonts w:ascii="Arial" w:eastAsia="Cambria" w:hAnsi="Arial" w:cs="Arial"/>
          <w:i/>
          <w:szCs w:val="22"/>
        </w:rPr>
        <w:t>)</w:t>
      </w:r>
      <w:r w:rsidRPr="00324F3D">
        <w:rPr>
          <w:rFonts w:ascii="Arial" w:hAnsi="Arial" w:cs="Arial"/>
          <w:bCs/>
          <w:i/>
          <w:szCs w:val="22"/>
        </w:rPr>
        <w:t xml:space="preserve"> </w:t>
      </w:r>
      <w:r w:rsidRPr="00324F3D">
        <w:rPr>
          <w:rFonts w:ascii="Arial" w:hAnsi="Arial" w:cs="Arial"/>
          <w:i/>
          <w:szCs w:val="22"/>
        </w:rPr>
        <w:t>η Δ/</w:t>
      </w:r>
      <w:proofErr w:type="spellStart"/>
      <w:r w:rsidRPr="00324F3D">
        <w:rPr>
          <w:rFonts w:ascii="Arial" w:hAnsi="Arial" w:cs="Arial"/>
          <w:i/>
          <w:szCs w:val="22"/>
        </w:rPr>
        <w:t>νση</w:t>
      </w:r>
      <w:proofErr w:type="spellEnd"/>
      <w:r w:rsidRPr="00324F3D">
        <w:rPr>
          <w:rFonts w:ascii="Arial" w:hAnsi="Arial" w:cs="Arial"/>
          <w:i/>
          <w:szCs w:val="22"/>
        </w:rPr>
        <w:t xml:space="preserve"> Τεχνικών Υπηρεσιών </w:t>
      </w:r>
      <w:r w:rsidRPr="00324F3D">
        <w:rPr>
          <w:rFonts w:ascii="Arial" w:hAnsi="Arial" w:cs="Arial"/>
          <w:bCs/>
          <w:i/>
          <w:szCs w:val="22"/>
        </w:rPr>
        <w:t xml:space="preserve">μας ενημερώνει ότι η δαπάνη για την </w:t>
      </w:r>
      <w:r w:rsidRPr="00324F3D">
        <w:rPr>
          <w:rFonts w:ascii="Arial" w:hAnsi="Arial" w:cs="Arial"/>
          <w:i/>
          <w:szCs w:val="22"/>
        </w:rPr>
        <w:t xml:space="preserve"> προμήθεια και εγκατάσταση οργάνων μέτρησης παραμέτρων για τον έλεγχο , την ενεργειακή αναβάθμιση , και τον εκσυγχρονισμό των </w:t>
      </w:r>
      <w:r w:rsidRPr="00324F3D">
        <w:rPr>
          <w:rFonts w:ascii="Arial" w:hAnsi="Arial" w:cs="Arial"/>
          <w:i/>
          <w:szCs w:val="22"/>
        </w:rPr>
        <w:lastRenderedPageBreak/>
        <w:t xml:space="preserve">υποδομών εγγείων βελτιώσεων του Δήμου </w:t>
      </w:r>
      <w:proofErr w:type="spellStart"/>
      <w:r w:rsidRPr="00324F3D">
        <w:rPr>
          <w:rFonts w:ascii="Arial" w:hAnsi="Arial" w:cs="Arial"/>
          <w:i/>
          <w:szCs w:val="22"/>
        </w:rPr>
        <w:t>Λεβαδέων</w:t>
      </w:r>
      <w:proofErr w:type="spellEnd"/>
      <w:r w:rsidRPr="00324F3D">
        <w:rPr>
          <w:rFonts w:ascii="Arial" w:hAnsi="Arial" w:cs="Arial"/>
          <w:i/>
          <w:szCs w:val="22"/>
        </w:rPr>
        <w:t xml:space="preserve">, </w:t>
      </w:r>
      <w:r w:rsidRPr="00324F3D">
        <w:rPr>
          <w:rFonts w:ascii="Arial" w:hAnsi="Arial" w:cs="Arial"/>
          <w:bCs/>
          <w:i/>
          <w:szCs w:val="22"/>
        </w:rPr>
        <w:t>κρίνεται απαραίτητη και το συνολικό ποσό ανέρχεται στα 1.255.748,00</w:t>
      </w:r>
      <w:r w:rsidRPr="00324F3D">
        <w:rPr>
          <w:rFonts w:ascii="Arial" w:hAnsi="Arial" w:cs="Arial"/>
          <w:i/>
          <w:szCs w:val="22"/>
        </w:rPr>
        <w:t xml:space="preserve"> € </w:t>
      </w:r>
      <w:r w:rsidRPr="00324F3D">
        <w:rPr>
          <w:rFonts w:ascii="Arial" w:hAnsi="Arial" w:cs="Arial"/>
          <w:bCs/>
          <w:i/>
          <w:szCs w:val="22"/>
        </w:rPr>
        <w:t xml:space="preserve">με Φ.Π.Α. 24% για τα έτη 2023 και 2024. </w:t>
      </w:r>
    </w:p>
    <w:p w:rsidR="00A03BC8" w:rsidRPr="00324F3D" w:rsidRDefault="00A03BC8" w:rsidP="00A03BC8">
      <w:pPr>
        <w:pStyle w:val="af2"/>
        <w:spacing w:line="360" w:lineRule="auto"/>
        <w:ind w:firstLine="720"/>
        <w:rPr>
          <w:rFonts w:ascii="Arial" w:hAnsi="Arial" w:cs="Arial"/>
          <w:i/>
          <w:sz w:val="22"/>
          <w:szCs w:val="22"/>
        </w:rPr>
      </w:pPr>
      <w:r w:rsidRPr="00324F3D">
        <w:rPr>
          <w:rFonts w:ascii="Arial" w:hAnsi="Arial" w:cs="Arial"/>
          <w:bCs/>
          <w:i/>
          <w:sz w:val="22"/>
          <w:szCs w:val="22"/>
        </w:rPr>
        <w:t xml:space="preserve">Με το </w:t>
      </w:r>
      <w:proofErr w:type="spellStart"/>
      <w:r w:rsidRPr="00324F3D">
        <w:rPr>
          <w:rFonts w:ascii="Arial" w:hAnsi="Arial" w:cs="Arial"/>
          <w:i/>
          <w:sz w:val="22"/>
          <w:szCs w:val="22"/>
        </w:rPr>
        <w:t>υπ΄αρ</w:t>
      </w:r>
      <w:proofErr w:type="spellEnd"/>
      <w:r w:rsidRPr="00324F3D">
        <w:rPr>
          <w:rFonts w:ascii="Arial" w:hAnsi="Arial" w:cs="Arial"/>
          <w:i/>
          <w:sz w:val="22"/>
          <w:szCs w:val="22"/>
        </w:rPr>
        <w:t xml:space="preserve">. </w:t>
      </w:r>
      <w:r w:rsidRPr="00324F3D">
        <w:rPr>
          <w:rFonts w:ascii="Arial" w:hAnsi="Arial" w:cs="Arial"/>
          <w:bCs/>
          <w:i/>
          <w:sz w:val="22"/>
          <w:szCs w:val="22"/>
        </w:rPr>
        <w:t>10717</w:t>
      </w:r>
      <w:r w:rsidRPr="00324F3D">
        <w:rPr>
          <w:rFonts w:ascii="Arial" w:eastAsia="Cambria" w:hAnsi="Arial" w:cs="Arial"/>
          <w:bCs/>
          <w:i/>
          <w:sz w:val="22"/>
          <w:szCs w:val="22"/>
        </w:rPr>
        <w:t>/01</w:t>
      </w:r>
      <w:r w:rsidRPr="00324F3D">
        <w:rPr>
          <w:rFonts w:ascii="Arial" w:eastAsia="Cambria" w:hAnsi="Arial" w:cs="Arial"/>
          <w:i/>
          <w:sz w:val="22"/>
          <w:szCs w:val="22"/>
        </w:rPr>
        <w:t>-06-2023</w:t>
      </w:r>
      <w:r w:rsidRPr="00324F3D">
        <w:rPr>
          <w:rFonts w:ascii="Arial" w:eastAsia="Cambria" w:hAnsi="Arial" w:cs="Arial"/>
          <w:i/>
          <w:color w:val="FF0000"/>
          <w:sz w:val="22"/>
          <w:szCs w:val="22"/>
        </w:rPr>
        <w:t xml:space="preserve"> </w:t>
      </w:r>
      <w:r w:rsidRPr="00324F3D">
        <w:rPr>
          <w:rFonts w:ascii="Arial" w:hAnsi="Arial" w:cs="Arial"/>
          <w:i/>
          <w:sz w:val="22"/>
          <w:szCs w:val="22"/>
        </w:rPr>
        <w:t>τεκμηριωμένο αίτημα της, η Διεύθυνση Τεχνικών Υπηρεσιών</w:t>
      </w:r>
      <w:r w:rsidRPr="00324F3D">
        <w:rPr>
          <w:rFonts w:ascii="Arial" w:hAnsi="Arial" w:cs="Arial"/>
          <w:bCs/>
          <w:i/>
          <w:sz w:val="22"/>
          <w:szCs w:val="22"/>
        </w:rPr>
        <w:t xml:space="preserve"> </w:t>
      </w:r>
      <w:r w:rsidRPr="00324F3D">
        <w:rPr>
          <w:rFonts w:ascii="Arial" w:hAnsi="Arial" w:cs="Arial"/>
          <w:i/>
          <w:sz w:val="22"/>
          <w:szCs w:val="22"/>
        </w:rPr>
        <w:t xml:space="preserve">αιτείται την έγκριση πολυετούς δαπάνης για τα έτη 2023 – 2024 , συνολικού ποσού 1.255.748,00 € για : </w:t>
      </w:r>
      <w:r w:rsidRPr="00324F3D">
        <w:rPr>
          <w:rFonts w:ascii="Arial" w:hAnsi="Arial" w:cs="Arial"/>
          <w:bCs/>
          <w:i/>
          <w:sz w:val="22"/>
          <w:szCs w:val="22"/>
        </w:rPr>
        <w:t xml:space="preserve">«Ενεργειακή αναβάθμιση και εκσυγχρονισμός υποδομών εγγείων βελτιώσεων του Δήμου </w:t>
      </w:r>
      <w:proofErr w:type="spellStart"/>
      <w:r w:rsidRPr="00324F3D">
        <w:rPr>
          <w:rFonts w:ascii="Arial" w:hAnsi="Arial" w:cs="Arial"/>
          <w:bCs/>
          <w:i/>
          <w:sz w:val="22"/>
          <w:szCs w:val="22"/>
        </w:rPr>
        <w:t>Λεβαδέων</w:t>
      </w:r>
      <w:proofErr w:type="spellEnd"/>
      <w:r w:rsidRPr="00324F3D">
        <w:rPr>
          <w:rFonts w:ascii="Arial" w:hAnsi="Arial" w:cs="Arial"/>
          <w:i/>
          <w:sz w:val="22"/>
          <w:szCs w:val="22"/>
        </w:rPr>
        <w:t xml:space="preserve">» </w:t>
      </w:r>
      <w:r w:rsidRPr="00324F3D">
        <w:rPr>
          <w:rStyle w:val="apple-style-span"/>
          <w:rFonts w:ascii="Arial" w:eastAsia="Cambria" w:hAnsi="Arial" w:cs="Arial"/>
          <w:i/>
          <w:color w:val="000000"/>
          <w:sz w:val="22"/>
          <w:szCs w:val="22"/>
        </w:rPr>
        <w:t xml:space="preserve">και εκδόθηκε η  υπ’ </w:t>
      </w:r>
      <w:proofErr w:type="spellStart"/>
      <w:r w:rsidRPr="00324F3D">
        <w:rPr>
          <w:rStyle w:val="apple-style-span"/>
          <w:rFonts w:ascii="Arial" w:eastAsia="Cambria" w:hAnsi="Arial" w:cs="Arial"/>
          <w:i/>
          <w:color w:val="000000"/>
          <w:sz w:val="22"/>
          <w:szCs w:val="22"/>
        </w:rPr>
        <w:t>αριθμ</w:t>
      </w:r>
      <w:proofErr w:type="spellEnd"/>
      <w:r w:rsidRPr="00324F3D">
        <w:rPr>
          <w:rStyle w:val="apple-style-span"/>
          <w:rFonts w:ascii="Arial" w:eastAsia="Cambria" w:hAnsi="Arial" w:cs="Arial"/>
          <w:i/>
          <w:color w:val="000000"/>
          <w:sz w:val="22"/>
          <w:szCs w:val="22"/>
        </w:rPr>
        <w:t>. 11166</w:t>
      </w:r>
      <w:r w:rsidRPr="00324F3D">
        <w:rPr>
          <w:rStyle w:val="apple-style-span"/>
          <w:rFonts w:ascii="Arial" w:eastAsia="Cambria" w:hAnsi="Arial" w:cs="Arial"/>
          <w:i/>
          <w:sz w:val="22"/>
          <w:szCs w:val="22"/>
        </w:rPr>
        <w:t>/2023</w:t>
      </w:r>
      <w:r w:rsidRPr="00324F3D">
        <w:rPr>
          <w:rStyle w:val="apple-style-span"/>
          <w:rFonts w:ascii="Arial" w:eastAsia="Cambria" w:hAnsi="Arial" w:cs="Arial"/>
          <w:i/>
          <w:color w:val="000000"/>
          <w:sz w:val="22"/>
          <w:szCs w:val="22"/>
        </w:rPr>
        <w:t xml:space="preserve"> </w:t>
      </w:r>
      <w:r w:rsidRPr="00324F3D">
        <w:rPr>
          <w:rFonts w:ascii="Arial" w:eastAsia="Cambria" w:hAnsi="Arial" w:cs="Arial"/>
          <w:i/>
          <w:sz w:val="22"/>
          <w:szCs w:val="22"/>
        </w:rPr>
        <w:t>(ΑΔΑΜ: 23</w:t>
      </w:r>
      <w:r w:rsidRPr="00324F3D">
        <w:rPr>
          <w:rFonts w:ascii="Arial" w:eastAsia="Cambria" w:hAnsi="Arial" w:cs="Arial"/>
          <w:i/>
          <w:sz w:val="22"/>
          <w:szCs w:val="22"/>
          <w:lang w:val="en-US"/>
        </w:rPr>
        <w:t>REQ</w:t>
      </w:r>
      <w:r w:rsidRPr="00324F3D">
        <w:rPr>
          <w:rFonts w:ascii="Arial" w:eastAsia="Cambria" w:hAnsi="Arial" w:cs="Arial"/>
          <w:i/>
          <w:sz w:val="22"/>
          <w:szCs w:val="22"/>
        </w:rPr>
        <w:t>012885675 , ΑΔΑ: 9ΑΨ5ΩΛΗ-76Χ)</w:t>
      </w:r>
      <w:r w:rsidRPr="00324F3D">
        <w:rPr>
          <w:rFonts w:ascii="Arial" w:eastAsia="Cambria" w:hAnsi="Arial" w:cs="Arial"/>
          <w:i/>
          <w:color w:val="FF0000"/>
          <w:sz w:val="22"/>
          <w:szCs w:val="22"/>
        </w:rPr>
        <w:t xml:space="preserve"> </w:t>
      </w:r>
      <w:r w:rsidRPr="00324F3D">
        <w:rPr>
          <w:rStyle w:val="apple-style-span"/>
          <w:rFonts w:ascii="Arial" w:eastAsia="Cambria" w:hAnsi="Arial" w:cs="Arial"/>
          <w:i/>
          <w:color w:val="000000"/>
          <w:sz w:val="22"/>
          <w:szCs w:val="22"/>
        </w:rPr>
        <w:t xml:space="preserve"> Απόφαση Έγκρισης πολυετούς δαπάνης της σχετικής προμήθειας. </w:t>
      </w:r>
    </w:p>
    <w:p w:rsidR="00A03BC8" w:rsidRPr="00324F3D" w:rsidRDefault="00A03BC8" w:rsidP="00A03BC8">
      <w:pPr>
        <w:widowControl w:val="0"/>
        <w:ind w:right="-7"/>
        <w:jc w:val="center"/>
        <w:rPr>
          <w:rFonts w:ascii="Arial" w:hAnsi="Arial" w:cs="Arial"/>
          <w:i/>
          <w:sz w:val="22"/>
          <w:szCs w:val="22"/>
        </w:rPr>
      </w:pPr>
      <w:r w:rsidRPr="00324F3D">
        <w:rPr>
          <w:rFonts w:ascii="Arial" w:hAnsi="Arial" w:cs="Arial"/>
          <w:i/>
          <w:sz w:val="22"/>
          <w:szCs w:val="22"/>
        </w:rPr>
        <w:t>Κατόπιν των ανωτέρω και αφού λάβετε υπόψη σας</w:t>
      </w:r>
    </w:p>
    <w:p w:rsidR="00A03BC8" w:rsidRPr="00324F3D" w:rsidRDefault="00A03BC8" w:rsidP="00A03BC8">
      <w:pPr>
        <w:widowControl w:val="0"/>
        <w:ind w:right="-7"/>
        <w:jc w:val="center"/>
        <w:rPr>
          <w:rFonts w:ascii="Arial" w:hAnsi="Arial" w:cs="Arial"/>
          <w:i/>
          <w:sz w:val="22"/>
          <w:szCs w:val="22"/>
          <w:highlight w:val="yellow"/>
        </w:rPr>
      </w:pPr>
    </w:p>
    <w:p w:rsidR="00A03BC8" w:rsidRPr="00324F3D" w:rsidRDefault="00A03BC8" w:rsidP="00A03BC8">
      <w:pPr>
        <w:widowControl w:val="0"/>
        <w:ind w:right="-7"/>
        <w:jc w:val="center"/>
        <w:rPr>
          <w:rFonts w:ascii="Arial" w:hAnsi="Arial" w:cs="Arial"/>
          <w:i/>
          <w:sz w:val="22"/>
          <w:szCs w:val="22"/>
          <w:highlight w:val="yellow"/>
        </w:rPr>
      </w:pP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324F3D">
        <w:rPr>
          <w:rFonts w:ascii="Arial" w:hAnsi="Arial" w:cs="Arial"/>
          <w:i/>
          <w:sz w:val="22"/>
          <w:szCs w:val="22"/>
        </w:rPr>
        <w:t>α΄</w:t>
      </w:r>
      <w:proofErr w:type="spellEnd"/>
      <w:r w:rsidRPr="00324F3D">
        <w:rPr>
          <w:rFonts w:ascii="Arial" w:hAnsi="Arial" w:cs="Arial"/>
          <w:i/>
          <w:sz w:val="22"/>
          <w:szCs w:val="22"/>
        </w:rPr>
        <w:t xml:space="preserve"> και </w:t>
      </w:r>
      <w:proofErr w:type="spellStart"/>
      <w:r w:rsidRPr="00324F3D">
        <w:rPr>
          <w:rFonts w:ascii="Arial" w:hAnsi="Arial" w:cs="Arial"/>
          <w:i/>
          <w:sz w:val="22"/>
          <w:szCs w:val="22"/>
        </w:rPr>
        <w:t>β΄</w:t>
      </w:r>
      <w:proofErr w:type="spellEnd"/>
      <w:r w:rsidRPr="00324F3D">
        <w:rPr>
          <w:rFonts w:ascii="Arial" w:hAnsi="Arial" w:cs="Arial"/>
          <w:i/>
          <w:sz w:val="22"/>
          <w:szCs w:val="22"/>
        </w:rPr>
        <w:t xml:space="preserve"> βαθμού και Επιτροπής Ποιότητας Ζωής ΟΤΑ </w:t>
      </w:r>
      <w:proofErr w:type="spellStart"/>
      <w:r w:rsidRPr="00324F3D">
        <w:rPr>
          <w:rFonts w:ascii="Arial" w:hAnsi="Arial" w:cs="Arial"/>
          <w:i/>
          <w:sz w:val="22"/>
          <w:szCs w:val="22"/>
        </w:rPr>
        <w:t>α΄</w:t>
      </w:r>
      <w:proofErr w:type="spellEnd"/>
      <w:r w:rsidRPr="00324F3D">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hAnsi="Arial" w:cs="Arial"/>
          <w:i/>
          <w:sz w:val="22"/>
          <w:szCs w:val="22"/>
        </w:rPr>
        <w:t>τ</w:t>
      </w:r>
      <w:r w:rsidRPr="00324F3D">
        <w:rPr>
          <w:rFonts w:ascii="Arial" w:hAnsi="Arial" w:cs="Arial"/>
          <w:i/>
          <w:color w:val="000000"/>
          <w:sz w:val="22"/>
          <w:szCs w:val="22"/>
        </w:rPr>
        <w:t>ο</w:t>
      </w:r>
      <w:r w:rsidRPr="00324F3D">
        <w:rPr>
          <w:rFonts w:ascii="Arial" w:hAnsi="Arial" w:cs="Arial"/>
          <w:bCs/>
          <w:i/>
          <w:color w:val="1C1C1C"/>
          <w:sz w:val="22"/>
          <w:szCs w:val="22"/>
        </w:rPr>
        <w:t xml:space="preserve"> άρθρο 206</w:t>
      </w:r>
      <w:r w:rsidRPr="00324F3D">
        <w:rPr>
          <w:rFonts w:ascii="Arial" w:hAnsi="Arial" w:cs="Arial"/>
          <w:i/>
          <w:color w:val="333333"/>
          <w:sz w:val="22"/>
          <w:szCs w:val="22"/>
        </w:rPr>
        <w:t xml:space="preserve"> </w:t>
      </w:r>
      <w:r w:rsidRPr="00324F3D">
        <w:rPr>
          <w:rFonts w:ascii="Arial" w:hAnsi="Arial" w:cs="Arial"/>
          <w:i/>
          <w:color w:val="000000"/>
          <w:sz w:val="22"/>
          <w:szCs w:val="22"/>
        </w:rPr>
        <w:t>παρ</w:t>
      </w:r>
      <w:r w:rsidRPr="00324F3D">
        <w:rPr>
          <w:rFonts w:ascii="Arial" w:hAnsi="Arial" w:cs="Arial"/>
          <w:i/>
          <w:color w:val="333333"/>
          <w:sz w:val="22"/>
          <w:szCs w:val="22"/>
        </w:rPr>
        <w:t xml:space="preserve">. </w:t>
      </w:r>
      <w:r w:rsidRPr="00324F3D">
        <w:rPr>
          <w:rFonts w:ascii="Arial" w:hAnsi="Arial" w:cs="Arial"/>
          <w:bCs/>
          <w:i/>
          <w:color w:val="1C1C1C"/>
          <w:sz w:val="22"/>
          <w:szCs w:val="22"/>
        </w:rPr>
        <w:t>1</w:t>
      </w:r>
      <w:r w:rsidRPr="00324F3D">
        <w:rPr>
          <w:rFonts w:ascii="Arial" w:hAnsi="Arial" w:cs="Arial"/>
          <w:bCs/>
          <w:i/>
          <w:color w:val="666666"/>
          <w:sz w:val="22"/>
          <w:szCs w:val="22"/>
        </w:rPr>
        <w:t xml:space="preserve"> του </w:t>
      </w:r>
      <w:r w:rsidRPr="00324F3D">
        <w:rPr>
          <w:rFonts w:ascii="Arial" w:hAnsi="Arial" w:cs="Arial"/>
          <w:bCs/>
          <w:i/>
          <w:color w:val="1C1C1C"/>
          <w:sz w:val="22"/>
          <w:szCs w:val="22"/>
        </w:rPr>
        <w:t>Ν. 4555/2018</w:t>
      </w:r>
      <w:r w:rsidRPr="00324F3D">
        <w:rPr>
          <w:rFonts w:ascii="Arial" w:hAnsi="Arial" w:cs="Arial"/>
          <w:i/>
          <w:color w:val="333333"/>
          <w:sz w:val="22"/>
          <w:szCs w:val="22"/>
        </w:rPr>
        <w:t xml:space="preserve">, με το οποίο </w:t>
      </w:r>
      <w:r w:rsidRPr="00324F3D">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eastAsia="Cambria" w:hAnsi="Arial" w:cs="Arial"/>
          <w:i/>
          <w:sz w:val="22"/>
          <w:szCs w:val="22"/>
        </w:rPr>
        <w:t>τις διατάξεις του Ν. 4497/2017 (</w:t>
      </w:r>
      <w:r w:rsidRPr="00324F3D">
        <w:rPr>
          <w:rStyle w:val="a5"/>
          <w:rFonts w:ascii="Arial" w:hAnsi="Arial" w:cs="Arial"/>
          <w:i/>
          <w:sz w:val="22"/>
          <w:szCs w:val="22"/>
        </w:rPr>
        <w:t>ΦΕΚ  Α’ 171/13.11.2017)</w:t>
      </w: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eastAsia="Cambria" w:hAnsi="Arial" w:cs="Arial"/>
          <w:i/>
          <w:color w:val="000000"/>
          <w:sz w:val="22"/>
          <w:szCs w:val="22"/>
        </w:rPr>
        <w:t>τις διατάξεις του Ν. 4605/2019 “Τροποποίηση διατάξεων του Ν. 4412/16 (</w:t>
      </w:r>
      <w:r w:rsidRPr="00324F3D">
        <w:rPr>
          <w:rStyle w:val="a5"/>
          <w:rFonts w:ascii="Arial" w:hAnsi="Arial" w:cs="Arial"/>
          <w:i/>
          <w:sz w:val="22"/>
          <w:szCs w:val="22"/>
        </w:rPr>
        <w:t>ΦΕΚ Α’ 52/01.04.2019</w:t>
      </w:r>
      <w:r w:rsidRPr="00324F3D">
        <w:rPr>
          <w:rFonts w:ascii="Arial" w:eastAsia="Cambria" w:hAnsi="Arial" w:cs="Arial"/>
          <w:i/>
          <w:color w:val="000000"/>
          <w:sz w:val="22"/>
          <w:szCs w:val="22"/>
        </w:rPr>
        <w:t xml:space="preserve">)”. </w:t>
      </w: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eastAsia="Cambria" w:hAnsi="Arial" w:cs="Arial"/>
          <w:i/>
          <w:sz w:val="22"/>
          <w:szCs w:val="22"/>
        </w:rPr>
        <w:t>Τις διατάξεις του Ν 4782/2021 «</w:t>
      </w:r>
      <w:r w:rsidRPr="00324F3D">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A03BC8" w:rsidRPr="00324F3D" w:rsidRDefault="00A03BC8" w:rsidP="00A03BC8">
      <w:pPr>
        <w:numPr>
          <w:ilvl w:val="0"/>
          <w:numId w:val="9"/>
        </w:numPr>
        <w:spacing w:line="360" w:lineRule="auto"/>
        <w:ind w:left="0" w:firstLine="0"/>
        <w:jc w:val="both"/>
        <w:rPr>
          <w:rFonts w:ascii="Arial" w:hAnsi="Arial" w:cs="Arial"/>
          <w:i/>
          <w:sz w:val="22"/>
          <w:szCs w:val="22"/>
        </w:rPr>
      </w:pPr>
      <w:r w:rsidRPr="00324F3D">
        <w:rPr>
          <w:rFonts w:ascii="Arial" w:eastAsia="Cambria" w:hAnsi="Arial" w:cs="Arial"/>
          <w:i/>
          <w:sz w:val="22"/>
          <w:szCs w:val="22"/>
        </w:rPr>
        <w:t xml:space="preserve">Το Σχέδιο Διακήρυξης το οποίο επισυνάπτεται </w:t>
      </w:r>
    </w:p>
    <w:p w:rsidR="00A03BC8" w:rsidRPr="00324F3D" w:rsidRDefault="00A03BC8" w:rsidP="00A03BC8">
      <w:pPr>
        <w:spacing w:line="360" w:lineRule="auto"/>
        <w:jc w:val="both"/>
        <w:rPr>
          <w:rFonts w:ascii="Arial" w:hAnsi="Arial" w:cs="Arial"/>
          <w:i/>
          <w:sz w:val="22"/>
          <w:szCs w:val="22"/>
        </w:rPr>
      </w:pPr>
    </w:p>
    <w:p w:rsidR="00A03BC8" w:rsidRPr="00324F3D" w:rsidRDefault="00A03BC8" w:rsidP="00A03BC8">
      <w:pPr>
        <w:jc w:val="center"/>
        <w:rPr>
          <w:rFonts w:ascii="Arial" w:hAnsi="Arial" w:cs="Arial"/>
          <w:i/>
          <w:sz w:val="22"/>
          <w:szCs w:val="22"/>
        </w:rPr>
      </w:pPr>
      <w:r w:rsidRPr="00324F3D">
        <w:rPr>
          <w:rFonts w:ascii="Arial" w:hAnsi="Arial" w:cs="Arial"/>
          <w:bCs/>
          <w:i/>
          <w:sz w:val="22"/>
          <w:szCs w:val="22"/>
        </w:rPr>
        <w:t>Καλείται η Οικονομική Επιτροπή</w:t>
      </w:r>
    </w:p>
    <w:p w:rsidR="00A03BC8" w:rsidRPr="00324F3D" w:rsidRDefault="00A03BC8" w:rsidP="00A03BC8">
      <w:pPr>
        <w:spacing w:line="360" w:lineRule="auto"/>
        <w:jc w:val="both"/>
        <w:rPr>
          <w:rFonts w:ascii="Arial" w:hAnsi="Arial" w:cs="Arial"/>
          <w:i/>
          <w:color w:val="000000"/>
          <w:sz w:val="22"/>
          <w:szCs w:val="22"/>
        </w:rPr>
      </w:pPr>
    </w:p>
    <w:p w:rsidR="00A03BC8" w:rsidRPr="00324F3D" w:rsidRDefault="00A03BC8" w:rsidP="00A03BC8">
      <w:pPr>
        <w:spacing w:line="360" w:lineRule="auto"/>
        <w:jc w:val="both"/>
        <w:rPr>
          <w:rFonts w:ascii="Arial" w:hAnsi="Arial" w:cs="Arial"/>
          <w:i/>
          <w:color w:val="000000"/>
          <w:sz w:val="22"/>
          <w:szCs w:val="22"/>
        </w:rPr>
      </w:pPr>
      <w:r w:rsidRPr="00324F3D">
        <w:rPr>
          <w:rFonts w:ascii="Arial" w:hAnsi="Arial" w:cs="Arial"/>
          <w:i/>
          <w:sz w:val="22"/>
          <w:szCs w:val="22"/>
        </w:rPr>
        <w:t xml:space="preserve">Να καθορίσει τους όρους διακήρυξης του </w:t>
      </w:r>
      <w:r w:rsidRPr="00324F3D">
        <w:rPr>
          <w:rFonts w:ascii="Arial" w:hAnsi="Arial" w:cs="Arial"/>
          <w:bCs/>
          <w:i/>
          <w:sz w:val="22"/>
          <w:szCs w:val="22"/>
        </w:rPr>
        <w:t xml:space="preserve">ηλεκτρονικού ανοικτού διαγωνισμού </w:t>
      </w:r>
      <w:r w:rsidRPr="00324F3D">
        <w:rPr>
          <w:rFonts w:ascii="Arial" w:hAnsi="Arial" w:cs="Arial"/>
          <w:i/>
          <w:sz w:val="22"/>
          <w:szCs w:val="22"/>
        </w:rPr>
        <w:t xml:space="preserve">άνω των ορίων </w:t>
      </w:r>
      <w:r w:rsidRPr="00324F3D">
        <w:rPr>
          <w:rFonts w:ascii="Arial" w:hAnsi="Arial" w:cs="Arial"/>
          <w:bCs/>
          <w:i/>
          <w:sz w:val="22"/>
          <w:szCs w:val="22"/>
        </w:rPr>
        <w:t xml:space="preserve">με τίτλο: «Ενεργειακή αναβάθμιση και εκσυγχρονισμός υποδομών εγγείων βελτιώσεων του Δήμου </w:t>
      </w:r>
      <w:proofErr w:type="spellStart"/>
      <w:r w:rsidRPr="00324F3D">
        <w:rPr>
          <w:rFonts w:ascii="Arial" w:hAnsi="Arial" w:cs="Arial"/>
          <w:bCs/>
          <w:i/>
          <w:sz w:val="22"/>
          <w:szCs w:val="22"/>
        </w:rPr>
        <w:lastRenderedPageBreak/>
        <w:t>Λεβαδέων</w:t>
      </w:r>
      <w:proofErr w:type="spellEnd"/>
      <w:r w:rsidRPr="00324F3D">
        <w:rPr>
          <w:rFonts w:ascii="Arial" w:hAnsi="Arial" w:cs="Arial"/>
          <w:i/>
          <w:sz w:val="22"/>
          <w:szCs w:val="22"/>
        </w:rPr>
        <w:t>»</w:t>
      </w:r>
      <w:r w:rsidRPr="00324F3D">
        <w:rPr>
          <w:rFonts w:ascii="Arial" w:hAnsi="Arial" w:cs="Arial"/>
          <w:bCs/>
          <w:i/>
          <w:sz w:val="22"/>
          <w:szCs w:val="22"/>
        </w:rPr>
        <w:t xml:space="preserve">, </w:t>
      </w:r>
      <w:r w:rsidRPr="00324F3D">
        <w:rPr>
          <w:rFonts w:ascii="Arial" w:eastAsia="Cambria" w:hAnsi="Arial" w:cs="Arial"/>
          <w:i/>
          <w:sz w:val="22"/>
          <w:szCs w:val="22"/>
        </w:rPr>
        <w:t>ενδεικτικού προϋπολογισμού</w:t>
      </w:r>
      <w:r w:rsidRPr="00324F3D">
        <w:rPr>
          <w:rFonts w:ascii="Arial" w:eastAsia="Cambria" w:hAnsi="Arial" w:cs="Arial"/>
          <w:i/>
          <w:color w:val="666666"/>
          <w:sz w:val="22"/>
          <w:szCs w:val="22"/>
        </w:rPr>
        <w:t xml:space="preserve"> </w:t>
      </w:r>
      <w:r w:rsidRPr="00324F3D">
        <w:rPr>
          <w:rFonts w:ascii="Arial" w:eastAsia="Cambria" w:hAnsi="Arial" w:cs="Arial"/>
          <w:i/>
          <w:sz w:val="22"/>
          <w:szCs w:val="22"/>
        </w:rPr>
        <w:t>1.012.700,00 € χωρίς Φ.Π.Α</w:t>
      </w:r>
      <w:r w:rsidRPr="00324F3D">
        <w:rPr>
          <w:rFonts w:ascii="Arial" w:hAnsi="Arial" w:cs="Arial"/>
          <w:i/>
          <w:sz w:val="22"/>
          <w:szCs w:val="22"/>
        </w:rPr>
        <w:t xml:space="preserve">. (1.255.748,00 € με Φ.Π.Α. 24%) , </w:t>
      </w:r>
      <w:r w:rsidRPr="00324F3D">
        <w:rPr>
          <w:rFonts w:ascii="Arial" w:hAnsi="Arial" w:cs="Arial"/>
          <w:bCs/>
          <w:i/>
          <w:sz w:val="22"/>
          <w:szCs w:val="22"/>
        </w:rPr>
        <w:t xml:space="preserve">σύμφωνα με την   </w:t>
      </w:r>
      <w:r w:rsidRPr="00324F3D">
        <w:rPr>
          <w:rFonts w:ascii="Arial" w:hAnsi="Arial" w:cs="Arial"/>
          <w:i/>
          <w:sz w:val="22"/>
          <w:szCs w:val="22"/>
        </w:rPr>
        <w:t>υπ’ αρ</w:t>
      </w:r>
      <w:r w:rsidRPr="00324F3D">
        <w:rPr>
          <w:rFonts w:ascii="Arial" w:hAnsi="Arial" w:cs="Arial"/>
          <w:i/>
          <w:color w:val="000000"/>
          <w:sz w:val="22"/>
          <w:szCs w:val="22"/>
        </w:rPr>
        <w:t>. 29</w:t>
      </w:r>
      <w:r w:rsidRPr="00324F3D">
        <w:rPr>
          <w:rFonts w:ascii="Arial" w:hAnsi="Arial" w:cs="Arial"/>
          <w:bCs/>
          <w:i/>
          <w:color w:val="000000"/>
          <w:sz w:val="22"/>
          <w:szCs w:val="22"/>
        </w:rPr>
        <w:t>/2022</w:t>
      </w:r>
      <w:r w:rsidRPr="00324F3D">
        <w:rPr>
          <w:rFonts w:ascii="Arial" w:hAnsi="Arial" w:cs="Arial"/>
          <w:bCs/>
          <w:i/>
          <w:color w:val="666666"/>
          <w:sz w:val="22"/>
          <w:szCs w:val="22"/>
        </w:rPr>
        <w:t xml:space="preserve"> </w:t>
      </w:r>
      <w:r w:rsidRPr="00324F3D">
        <w:rPr>
          <w:rFonts w:ascii="Arial" w:hAnsi="Arial" w:cs="Arial"/>
          <w:bCs/>
          <w:i/>
          <w:sz w:val="22"/>
          <w:szCs w:val="22"/>
        </w:rPr>
        <w:t>μελέτη</w:t>
      </w:r>
      <w:r w:rsidRPr="00324F3D">
        <w:rPr>
          <w:rFonts w:ascii="Arial" w:hAnsi="Arial" w:cs="Arial"/>
          <w:i/>
          <w:sz w:val="22"/>
          <w:szCs w:val="22"/>
        </w:rPr>
        <w:t xml:space="preserve">  της Δ/</w:t>
      </w:r>
      <w:proofErr w:type="spellStart"/>
      <w:r w:rsidRPr="00324F3D">
        <w:rPr>
          <w:rFonts w:ascii="Arial" w:hAnsi="Arial" w:cs="Arial"/>
          <w:i/>
          <w:sz w:val="22"/>
          <w:szCs w:val="22"/>
        </w:rPr>
        <w:t>νσης</w:t>
      </w:r>
      <w:proofErr w:type="spellEnd"/>
      <w:r w:rsidRPr="00324F3D">
        <w:rPr>
          <w:rFonts w:ascii="Arial" w:hAnsi="Arial" w:cs="Arial"/>
          <w:i/>
          <w:sz w:val="22"/>
          <w:szCs w:val="22"/>
        </w:rPr>
        <w:t xml:space="preserve"> Τεχνικών Υπηρεσιών που</w:t>
      </w:r>
      <w:r w:rsidRPr="00324F3D">
        <w:rPr>
          <w:rFonts w:ascii="Arial" w:hAnsi="Arial" w:cs="Arial"/>
          <w:i/>
          <w:color w:val="000000"/>
          <w:sz w:val="22"/>
          <w:szCs w:val="22"/>
        </w:rPr>
        <w:t xml:space="preserve"> θα αποτελέσουν αναπόσπαστο μέρος της απόφασή σας.</w:t>
      </w:r>
    </w:p>
    <w:p w:rsidR="00A03BC8" w:rsidRPr="00977A70" w:rsidRDefault="00A03BC8" w:rsidP="00A03BC8">
      <w:pPr>
        <w:spacing w:line="360" w:lineRule="auto"/>
        <w:jc w:val="both"/>
        <w:rPr>
          <w:rFonts w:ascii="Verdana" w:hAnsi="Verdana"/>
          <w:sz w:val="20"/>
          <w:szCs w:val="20"/>
        </w:rPr>
      </w:pPr>
    </w:p>
    <w:p w:rsidR="0042115C" w:rsidRPr="002661F0" w:rsidRDefault="00503375" w:rsidP="00A03BC8">
      <w:pPr>
        <w:spacing w:after="120"/>
        <w:jc w:val="both"/>
        <w:rPr>
          <w:rFonts w:ascii="Arial" w:eastAsia="Arial" w:hAnsi="Arial" w:cs="Arial"/>
          <w:b/>
          <w:kern w:val="1"/>
          <w:sz w:val="22"/>
          <w:szCs w:val="22"/>
          <w:lang w:bidi="hi-IN"/>
        </w:rPr>
      </w:pPr>
      <w:r w:rsidRPr="002661F0">
        <w:rPr>
          <w:rFonts w:ascii="Arial" w:hAnsi="Arial" w:cs="Arial"/>
          <w:i/>
          <w:sz w:val="22"/>
          <w:szCs w:val="22"/>
        </w:rPr>
        <w:t xml:space="preserve"> </w:t>
      </w:r>
      <w:r w:rsidR="00557D7F" w:rsidRPr="002661F0">
        <w:rPr>
          <w:sz w:val="22"/>
          <w:szCs w:val="22"/>
        </w:rPr>
        <w:t xml:space="preserve"> </w:t>
      </w:r>
      <w:r w:rsidR="008D639D" w:rsidRPr="002661F0">
        <w:rPr>
          <w:sz w:val="22"/>
          <w:szCs w:val="22"/>
        </w:rPr>
        <w:t xml:space="preserve"> </w:t>
      </w:r>
      <w:r w:rsidR="009274E0" w:rsidRPr="002661F0">
        <w:rPr>
          <w:rFonts w:ascii="Arial" w:hAnsi="Arial" w:cs="Arial"/>
          <w:i/>
          <w:sz w:val="22"/>
          <w:szCs w:val="22"/>
        </w:rPr>
        <w:tab/>
      </w:r>
      <w:r w:rsidR="00F278FF" w:rsidRPr="002661F0">
        <w:rPr>
          <w:rFonts w:ascii="Arial" w:eastAsia="Arial" w:hAnsi="Arial" w:cs="Arial"/>
          <w:b/>
          <w:sz w:val="22"/>
          <w:szCs w:val="22"/>
        </w:rPr>
        <w:t xml:space="preserve">  </w:t>
      </w:r>
      <w:r w:rsidR="00F278FF" w:rsidRPr="002661F0">
        <w:rPr>
          <w:rFonts w:ascii="Arial" w:eastAsia="Arial" w:hAnsi="Arial" w:cs="Arial"/>
          <w:b/>
          <w:kern w:val="1"/>
          <w:sz w:val="22"/>
          <w:szCs w:val="22"/>
          <w:lang w:bidi="hi-IN"/>
        </w:rPr>
        <w:t>Η Οικονομική Επιτροπή  λαμβάνοντας υπόψη :</w:t>
      </w:r>
    </w:p>
    <w:p w:rsidR="00B607E2" w:rsidRPr="002661F0" w:rsidRDefault="00B607E2" w:rsidP="00E9459C">
      <w:pPr>
        <w:rPr>
          <w:rFonts w:ascii="Arial" w:eastAsia="Arial" w:hAnsi="Arial" w:cs="Arial"/>
          <w:b/>
          <w:kern w:val="1"/>
          <w:sz w:val="22"/>
          <w:szCs w:val="22"/>
          <w:lang w:bidi="hi-IN"/>
        </w:rPr>
      </w:pPr>
    </w:p>
    <w:p w:rsidR="00324F3D" w:rsidRPr="00E34E38" w:rsidRDefault="000D74BD" w:rsidP="00324F3D">
      <w:pPr>
        <w:pStyle w:val="ad"/>
        <w:spacing w:line="288" w:lineRule="auto"/>
        <w:rPr>
          <w:rFonts w:ascii="Arial" w:hAnsi="Arial" w:cs="Arial"/>
          <w:bCs/>
          <w:sz w:val="22"/>
          <w:szCs w:val="22"/>
        </w:rPr>
      </w:pPr>
      <w:r w:rsidRPr="000D74BD">
        <w:rPr>
          <w:rFonts w:ascii="Arial" w:hAnsi="Arial" w:cs="Arial"/>
          <w:sz w:val="22"/>
          <w:szCs w:val="22"/>
        </w:rPr>
        <w:t>-</w:t>
      </w:r>
      <w:r w:rsidR="00324F3D" w:rsidRPr="00E34E38">
        <w:rPr>
          <w:rFonts w:ascii="Arial" w:hAnsi="Arial" w:cs="Arial"/>
          <w:sz w:val="22"/>
          <w:szCs w:val="22"/>
        </w:rPr>
        <w:t>-Τις διατάξεις του  άρθρου 40 του Ν.4735/2020 που αντικατέστησε το άρθρο 72  το</w:t>
      </w:r>
      <w:r w:rsidR="00324F3D" w:rsidRPr="00E34E38">
        <w:rPr>
          <w:rFonts w:ascii="Arial" w:hAnsi="Arial" w:cs="Arial"/>
          <w:bCs/>
          <w:sz w:val="22"/>
          <w:szCs w:val="22"/>
        </w:rPr>
        <w:t xml:space="preserve">υ     </w:t>
      </w:r>
    </w:p>
    <w:p w:rsidR="00324F3D" w:rsidRPr="00E34E38" w:rsidRDefault="00324F3D" w:rsidP="00324F3D">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324F3D" w:rsidRPr="00E34E38" w:rsidRDefault="00324F3D" w:rsidP="00324F3D">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324F3D" w:rsidRPr="00E34E38" w:rsidRDefault="00324F3D" w:rsidP="00324F3D">
      <w:pPr>
        <w:jc w:val="both"/>
        <w:rPr>
          <w:rFonts w:ascii="Arial" w:hAnsi="Arial" w:cs="Arial"/>
          <w:sz w:val="22"/>
          <w:szCs w:val="22"/>
        </w:rPr>
      </w:pPr>
      <w:r w:rsidRPr="00E34E38">
        <w:rPr>
          <w:rFonts w:ascii="Arial" w:hAnsi="Arial" w:cs="Arial"/>
          <w:sz w:val="22"/>
          <w:szCs w:val="22"/>
        </w:rPr>
        <w:t xml:space="preserve">- του  άρθρου 77 του Ν. 4555/2018, </w:t>
      </w:r>
    </w:p>
    <w:p w:rsidR="00324F3D" w:rsidRDefault="00324F3D" w:rsidP="00324F3D">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324F3D" w:rsidRPr="00E34E38" w:rsidRDefault="00324F3D" w:rsidP="00324F3D">
      <w:pPr>
        <w:jc w:val="both"/>
        <w:rPr>
          <w:rFonts w:ascii="Arial" w:hAnsi="Arial" w:cs="Arial"/>
          <w:sz w:val="22"/>
          <w:szCs w:val="22"/>
        </w:rPr>
      </w:pPr>
      <w:r>
        <w:rPr>
          <w:rFonts w:ascii="Arial" w:hAnsi="Arial" w:cs="Arial"/>
          <w:sz w:val="22"/>
          <w:szCs w:val="22"/>
        </w:rPr>
        <w:t>-Το σχέδιο διακήρυξης που είχε διανεμηθεί</w:t>
      </w:r>
    </w:p>
    <w:p w:rsidR="00E141BC" w:rsidRPr="00E141BC" w:rsidRDefault="00324F3D" w:rsidP="00E141BC">
      <w:pPr>
        <w:pStyle w:val="af8"/>
        <w:rPr>
          <w:rFonts w:ascii="Arial" w:hAnsi="Arial" w:cs="Arial"/>
          <w:color w:val="000000"/>
          <w:spacing w:val="-3"/>
          <w:sz w:val="22"/>
          <w:szCs w:val="22"/>
        </w:rPr>
      </w:pPr>
      <w:r w:rsidRPr="00E141BC">
        <w:rPr>
          <w:rFonts w:ascii="Arial" w:hAnsi="Arial" w:cs="Arial"/>
          <w:sz w:val="22"/>
          <w:szCs w:val="22"/>
          <w:highlight w:val="white"/>
        </w:rPr>
        <w:t xml:space="preserve">- Την </w:t>
      </w:r>
      <w:proofErr w:type="spellStart"/>
      <w:r w:rsidRPr="00E141BC">
        <w:rPr>
          <w:rFonts w:ascii="Arial" w:hAnsi="Arial" w:cs="Arial"/>
          <w:sz w:val="22"/>
          <w:szCs w:val="22"/>
          <w:highlight w:val="white"/>
        </w:rPr>
        <w:t>αριθμ</w:t>
      </w:r>
      <w:proofErr w:type="spellEnd"/>
      <w:r w:rsidRPr="00E141BC">
        <w:rPr>
          <w:rFonts w:ascii="Arial" w:hAnsi="Arial" w:cs="Arial"/>
          <w:sz w:val="22"/>
          <w:szCs w:val="22"/>
          <w:highlight w:val="white"/>
        </w:rPr>
        <w:t>.</w:t>
      </w:r>
      <w:r w:rsidR="00D1285C">
        <w:rPr>
          <w:rFonts w:ascii="Arial" w:hAnsi="Arial" w:cs="Arial"/>
          <w:sz w:val="22"/>
          <w:szCs w:val="22"/>
          <w:highlight w:val="white"/>
        </w:rPr>
        <w:t xml:space="preserve"> </w:t>
      </w:r>
      <w:r w:rsidR="00E141BC" w:rsidRPr="00E141BC">
        <w:rPr>
          <w:rFonts w:ascii="Arial" w:hAnsi="Arial" w:cs="Arial"/>
          <w:sz w:val="22"/>
          <w:szCs w:val="22"/>
          <w:highlight w:val="white"/>
        </w:rPr>
        <w:t>29</w:t>
      </w:r>
      <w:r w:rsidRPr="00E141BC">
        <w:rPr>
          <w:rFonts w:ascii="Arial" w:hAnsi="Arial" w:cs="Arial"/>
          <w:sz w:val="22"/>
          <w:szCs w:val="22"/>
          <w:highlight w:val="white"/>
        </w:rPr>
        <w:t>/202</w:t>
      </w:r>
      <w:r w:rsidR="00E141BC" w:rsidRPr="00E141BC">
        <w:rPr>
          <w:rFonts w:ascii="Arial" w:hAnsi="Arial" w:cs="Arial"/>
          <w:sz w:val="22"/>
          <w:szCs w:val="22"/>
          <w:highlight w:val="white"/>
        </w:rPr>
        <w:t>2</w:t>
      </w:r>
      <w:r w:rsidRPr="00E141BC">
        <w:rPr>
          <w:rFonts w:ascii="Arial" w:hAnsi="Arial" w:cs="Arial"/>
          <w:sz w:val="22"/>
          <w:szCs w:val="22"/>
          <w:highlight w:val="white"/>
        </w:rPr>
        <w:t xml:space="preserve"> μελέτη </w:t>
      </w:r>
      <w:r w:rsidR="00E141BC" w:rsidRPr="00E141BC">
        <w:rPr>
          <w:rFonts w:ascii="Arial" w:hAnsi="Arial" w:cs="Arial"/>
          <w:color w:val="000000"/>
          <w:spacing w:val="3"/>
          <w:sz w:val="22"/>
          <w:szCs w:val="22"/>
        </w:rPr>
        <w:t xml:space="preserve">με τίτλο </w:t>
      </w:r>
      <w:r w:rsidR="0055251A">
        <w:rPr>
          <w:rFonts w:ascii="Arial" w:hAnsi="Arial" w:cs="Arial"/>
          <w:color w:val="000000"/>
          <w:spacing w:val="3"/>
          <w:sz w:val="22"/>
          <w:szCs w:val="22"/>
        </w:rPr>
        <w:t xml:space="preserve">: </w:t>
      </w:r>
      <w:r w:rsidR="00E141BC" w:rsidRPr="00E141BC">
        <w:rPr>
          <w:rFonts w:ascii="Arial" w:hAnsi="Arial" w:cs="Arial"/>
          <w:color w:val="000000"/>
          <w:spacing w:val="-6"/>
          <w:sz w:val="22"/>
          <w:szCs w:val="22"/>
        </w:rPr>
        <w:t xml:space="preserve">«ΕΝΕΡΓΕΙΑΚΗ ΑΝΑΒΑΘΜΙΣΗ ΚΑΙ ΕΚΣΥΓΧΡΟΝΙΣΜΟΣ ΥΠΟΔΟΜΩΝ ΕΓΓΕΙΩΝ </w:t>
      </w:r>
      <w:r w:rsidR="00E141BC" w:rsidRPr="00E141BC">
        <w:rPr>
          <w:rFonts w:ascii="Arial" w:hAnsi="Arial" w:cs="Arial"/>
          <w:color w:val="000000"/>
          <w:spacing w:val="-3"/>
          <w:sz w:val="22"/>
          <w:szCs w:val="22"/>
        </w:rPr>
        <w:t>ΒΕΛΤΙΩΣΕΩΝ ΤΟΥ ΔΗΜΟΥ ΛΕΒΑΔΕΩΝ» προϋπολογισμού 1.255.748,00€ με</w:t>
      </w:r>
      <w:r w:rsidR="00E141BC" w:rsidRPr="00E141BC">
        <w:rPr>
          <w:rFonts w:ascii="Arial" w:hAnsi="Arial" w:cs="Arial"/>
          <w:color w:val="000000"/>
          <w:spacing w:val="2"/>
          <w:sz w:val="22"/>
          <w:szCs w:val="22"/>
        </w:rPr>
        <w:t xml:space="preserve"> Φ.Π.Α </w:t>
      </w:r>
      <w:r w:rsidR="00D1285C">
        <w:rPr>
          <w:rFonts w:ascii="Arial" w:hAnsi="Arial" w:cs="Arial"/>
          <w:color w:val="000000"/>
          <w:spacing w:val="2"/>
          <w:sz w:val="22"/>
          <w:szCs w:val="22"/>
        </w:rPr>
        <w:t xml:space="preserve"> 24%.</w:t>
      </w:r>
    </w:p>
    <w:p w:rsidR="00324F3D" w:rsidRPr="00930DED" w:rsidRDefault="00324F3D" w:rsidP="00E141BC">
      <w:pPr>
        <w:pStyle w:val="af8"/>
        <w:rPr>
          <w:rFonts w:ascii="Arial" w:hAnsi="Arial" w:cs="Arial"/>
          <w:sz w:val="22"/>
          <w:szCs w:val="22"/>
        </w:rPr>
      </w:pPr>
      <w:r w:rsidRPr="00930DED">
        <w:rPr>
          <w:rFonts w:ascii="Arial" w:hAnsi="Arial" w:cs="Arial"/>
          <w:sz w:val="22"/>
          <w:szCs w:val="22"/>
        </w:rPr>
        <w:t xml:space="preserve">-Την </w:t>
      </w:r>
      <w:r w:rsidR="00E141BC">
        <w:rPr>
          <w:rFonts w:ascii="Arial" w:hAnsi="Arial" w:cs="Arial"/>
          <w:sz w:val="22"/>
          <w:szCs w:val="22"/>
        </w:rPr>
        <w:t>με αριθμό  143</w:t>
      </w:r>
      <w:r w:rsidRPr="00930DED">
        <w:rPr>
          <w:rFonts w:ascii="Arial" w:hAnsi="Arial" w:cs="Arial"/>
          <w:sz w:val="22"/>
          <w:szCs w:val="22"/>
        </w:rPr>
        <w:t>/202</w:t>
      </w:r>
      <w:r w:rsidR="00E141BC">
        <w:rPr>
          <w:rFonts w:ascii="Arial" w:hAnsi="Arial" w:cs="Arial"/>
          <w:sz w:val="22"/>
          <w:szCs w:val="22"/>
        </w:rPr>
        <w:t>2</w:t>
      </w:r>
      <w:r w:rsidRPr="00930DED">
        <w:rPr>
          <w:rFonts w:ascii="Arial" w:hAnsi="Arial" w:cs="Arial"/>
          <w:sz w:val="22"/>
          <w:szCs w:val="22"/>
        </w:rPr>
        <w:t xml:space="preserve"> απόφασή της</w:t>
      </w:r>
    </w:p>
    <w:p w:rsidR="00324F3D" w:rsidRPr="00930DED" w:rsidRDefault="00324F3D" w:rsidP="00324F3D">
      <w:pPr>
        <w:widowControl w:val="0"/>
        <w:spacing w:line="276" w:lineRule="auto"/>
        <w:jc w:val="both"/>
        <w:rPr>
          <w:rFonts w:ascii="Arial" w:hAnsi="Arial" w:cs="Arial"/>
          <w:sz w:val="22"/>
          <w:szCs w:val="22"/>
        </w:rPr>
      </w:pPr>
      <w:r w:rsidRPr="00930DED">
        <w:rPr>
          <w:rFonts w:ascii="Arial" w:hAnsi="Arial" w:cs="Arial"/>
          <w:sz w:val="22"/>
          <w:szCs w:val="22"/>
        </w:rPr>
        <w:t>-</w:t>
      </w:r>
      <w:r w:rsidRPr="00E141BC">
        <w:rPr>
          <w:rFonts w:ascii="Arial" w:hAnsi="Arial" w:cs="Arial"/>
          <w:sz w:val="22"/>
          <w:szCs w:val="22"/>
        </w:rPr>
        <w:t>Την</w:t>
      </w:r>
      <w:r w:rsidRPr="00E141BC">
        <w:rPr>
          <w:rStyle w:val="apple-style-span"/>
          <w:rFonts w:ascii="Arial" w:eastAsia="Cambria" w:hAnsi="Arial" w:cs="Arial"/>
          <w:color w:val="000000"/>
          <w:sz w:val="22"/>
          <w:szCs w:val="22"/>
        </w:rPr>
        <w:t xml:space="preserve">  υπ’ </w:t>
      </w:r>
      <w:proofErr w:type="spellStart"/>
      <w:r w:rsidRPr="00E141BC">
        <w:rPr>
          <w:rStyle w:val="apple-style-span"/>
          <w:rFonts w:ascii="Arial" w:eastAsia="Cambria" w:hAnsi="Arial" w:cs="Arial"/>
          <w:color w:val="000000"/>
          <w:sz w:val="22"/>
          <w:szCs w:val="22"/>
        </w:rPr>
        <w:t>αριθμ</w:t>
      </w:r>
      <w:proofErr w:type="spellEnd"/>
      <w:r w:rsidR="00E141BC" w:rsidRPr="00E141BC">
        <w:rPr>
          <w:rStyle w:val="apple-style-span"/>
          <w:rFonts w:ascii="Arial" w:eastAsia="Cambria" w:hAnsi="Arial" w:cs="Arial"/>
          <w:color w:val="000000"/>
          <w:sz w:val="22"/>
          <w:szCs w:val="22"/>
        </w:rPr>
        <w:t>. 11166</w:t>
      </w:r>
      <w:r w:rsidR="00E141BC" w:rsidRPr="00E141BC">
        <w:rPr>
          <w:rStyle w:val="apple-style-span"/>
          <w:rFonts w:ascii="Arial" w:eastAsia="Cambria" w:hAnsi="Arial" w:cs="Arial"/>
          <w:sz w:val="22"/>
          <w:szCs w:val="22"/>
        </w:rPr>
        <w:t>/2023</w:t>
      </w:r>
      <w:r w:rsidR="00E141BC" w:rsidRPr="00E141BC">
        <w:rPr>
          <w:rStyle w:val="apple-style-span"/>
          <w:rFonts w:ascii="Arial" w:eastAsia="Cambria" w:hAnsi="Arial" w:cs="Arial"/>
          <w:color w:val="000000"/>
          <w:sz w:val="22"/>
          <w:szCs w:val="22"/>
        </w:rPr>
        <w:t xml:space="preserve"> </w:t>
      </w:r>
      <w:r w:rsidR="00E141BC" w:rsidRPr="00E141BC">
        <w:rPr>
          <w:rFonts w:ascii="Arial" w:eastAsia="Cambria" w:hAnsi="Arial" w:cs="Arial"/>
          <w:sz w:val="22"/>
          <w:szCs w:val="22"/>
        </w:rPr>
        <w:t>(ΑΔΑΜ: 23</w:t>
      </w:r>
      <w:r w:rsidR="00E141BC" w:rsidRPr="00E141BC">
        <w:rPr>
          <w:rFonts w:ascii="Arial" w:eastAsia="Cambria" w:hAnsi="Arial" w:cs="Arial"/>
          <w:sz w:val="22"/>
          <w:szCs w:val="22"/>
          <w:lang w:val="en-US"/>
        </w:rPr>
        <w:t>REQ</w:t>
      </w:r>
      <w:r w:rsidR="00E141BC" w:rsidRPr="00E141BC">
        <w:rPr>
          <w:rFonts w:ascii="Arial" w:eastAsia="Cambria" w:hAnsi="Arial" w:cs="Arial"/>
          <w:sz w:val="22"/>
          <w:szCs w:val="22"/>
        </w:rPr>
        <w:t>012885675 , ΑΔΑ: 9ΑΨ5ΩΛΗ-76Χ)</w:t>
      </w:r>
      <w:r w:rsidR="00E141BC" w:rsidRPr="00E141BC">
        <w:rPr>
          <w:rFonts w:ascii="Arial" w:eastAsia="Cambria" w:hAnsi="Arial" w:cs="Arial"/>
          <w:color w:val="FF0000"/>
          <w:sz w:val="22"/>
          <w:szCs w:val="22"/>
        </w:rPr>
        <w:t xml:space="preserve"> </w:t>
      </w:r>
      <w:r w:rsidR="00E141BC" w:rsidRPr="00E141BC">
        <w:rPr>
          <w:rStyle w:val="apple-style-span"/>
          <w:rFonts w:ascii="Arial" w:eastAsia="Cambria" w:hAnsi="Arial" w:cs="Arial"/>
          <w:color w:val="000000"/>
          <w:sz w:val="22"/>
          <w:szCs w:val="22"/>
        </w:rPr>
        <w:t xml:space="preserve"> Απόφαση Έγκρισης πολυετούς δαπάνης</w:t>
      </w:r>
      <w:r w:rsidR="00E141BC" w:rsidRPr="00324F3D">
        <w:rPr>
          <w:rStyle w:val="apple-style-span"/>
          <w:rFonts w:ascii="Arial" w:eastAsia="Cambria" w:hAnsi="Arial" w:cs="Arial"/>
          <w:i/>
          <w:color w:val="000000"/>
          <w:sz w:val="22"/>
          <w:szCs w:val="22"/>
        </w:rPr>
        <w:t xml:space="preserve"> </w:t>
      </w:r>
    </w:p>
    <w:p w:rsidR="00324F3D" w:rsidRPr="00930DED" w:rsidRDefault="00324F3D" w:rsidP="00324F3D">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sidR="001B3B77">
        <w:rPr>
          <w:rFonts w:ascii="Arial" w:hAnsi="Arial" w:cs="Arial"/>
          <w:sz w:val="22"/>
          <w:szCs w:val="22"/>
        </w:rPr>
        <w:t>21436</w:t>
      </w:r>
      <w:r w:rsidRPr="00930DED">
        <w:rPr>
          <w:rFonts w:ascii="Arial" w:eastAsia="Arial" w:hAnsi="Arial" w:cs="Arial"/>
          <w:sz w:val="22"/>
          <w:szCs w:val="22"/>
        </w:rPr>
        <w:t>/</w:t>
      </w:r>
      <w:r w:rsidR="001B3B77">
        <w:rPr>
          <w:rFonts w:ascii="Arial" w:eastAsia="Arial" w:hAnsi="Arial" w:cs="Arial"/>
          <w:sz w:val="22"/>
          <w:szCs w:val="22"/>
        </w:rPr>
        <w:t>03</w:t>
      </w:r>
      <w:r w:rsidRPr="00930DED">
        <w:rPr>
          <w:rFonts w:ascii="Arial" w:eastAsia="Arial" w:hAnsi="Arial" w:cs="Arial"/>
          <w:sz w:val="22"/>
          <w:szCs w:val="22"/>
        </w:rPr>
        <w:t>-</w:t>
      </w:r>
      <w:r w:rsidR="001B3B77">
        <w:rPr>
          <w:rFonts w:ascii="Arial" w:eastAsia="Arial" w:hAnsi="Arial" w:cs="Arial"/>
          <w:sz w:val="22"/>
          <w:szCs w:val="22"/>
        </w:rPr>
        <w:t>11</w:t>
      </w:r>
      <w:r w:rsidRPr="00930DED">
        <w:rPr>
          <w:rFonts w:ascii="Arial" w:hAnsi="Arial" w:cs="Arial"/>
          <w:sz w:val="22"/>
          <w:szCs w:val="22"/>
        </w:rPr>
        <w:t xml:space="preserve">-2023  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324F3D" w:rsidRPr="00930DED" w:rsidRDefault="00324F3D" w:rsidP="00324F3D">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324F3D" w:rsidRPr="00930DED" w:rsidRDefault="00324F3D" w:rsidP="00324F3D">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324F3D" w:rsidRPr="00E34E38" w:rsidRDefault="00324F3D" w:rsidP="00324F3D">
      <w:pPr>
        <w:widowControl w:val="0"/>
        <w:suppressAutoHyphens w:val="0"/>
        <w:jc w:val="both"/>
        <w:rPr>
          <w:rFonts w:ascii="Arial" w:hAnsi="Arial" w:cs="Arial"/>
          <w:sz w:val="22"/>
          <w:szCs w:val="22"/>
        </w:rPr>
      </w:pPr>
    </w:p>
    <w:p w:rsidR="00324F3D" w:rsidRPr="00E34E38" w:rsidRDefault="00324F3D" w:rsidP="00324F3D">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324F3D" w:rsidRPr="00E34E38" w:rsidRDefault="00324F3D" w:rsidP="00324F3D">
      <w:pPr>
        <w:spacing w:line="276" w:lineRule="auto"/>
        <w:rPr>
          <w:rFonts w:ascii="Arial" w:hAnsi="Arial" w:cs="Arial"/>
          <w:b/>
          <w:bCs/>
          <w:sz w:val="22"/>
          <w:szCs w:val="22"/>
        </w:rPr>
      </w:pPr>
    </w:p>
    <w:p w:rsidR="00324F3D" w:rsidRDefault="00324F3D" w:rsidP="00324F3D">
      <w:pPr>
        <w:spacing w:line="360" w:lineRule="auto"/>
        <w:jc w:val="both"/>
        <w:rPr>
          <w:rFonts w:ascii="Arial" w:hAnsi="Arial" w:cs="Arial"/>
          <w:sz w:val="22"/>
          <w:szCs w:val="22"/>
        </w:rPr>
      </w:pPr>
      <w:r w:rsidRPr="00385303">
        <w:rPr>
          <w:rFonts w:ascii="Arial" w:hAnsi="Arial" w:cs="Arial"/>
          <w:sz w:val="22"/>
          <w:szCs w:val="22"/>
        </w:rPr>
        <w:t xml:space="preserve">   Καθορίζει τους όρους διακήρυξης του </w:t>
      </w:r>
      <w:r w:rsidRPr="00385303">
        <w:rPr>
          <w:rFonts w:ascii="Arial" w:hAnsi="Arial" w:cs="Arial"/>
          <w:bCs/>
          <w:sz w:val="22"/>
          <w:szCs w:val="22"/>
        </w:rPr>
        <w:t xml:space="preserve">ηλεκτρονικού ανοικτού διαγωνισμού </w:t>
      </w:r>
      <w:r w:rsidRPr="00385303">
        <w:rPr>
          <w:rFonts w:ascii="Arial" w:hAnsi="Arial" w:cs="Arial"/>
          <w:sz w:val="22"/>
          <w:szCs w:val="22"/>
        </w:rPr>
        <w:t xml:space="preserve">άνω  των ορίων </w:t>
      </w:r>
      <w:r w:rsidRPr="00385303">
        <w:rPr>
          <w:rFonts w:ascii="Arial" w:hAnsi="Arial" w:cs="Arial"/>
          <w:bCs/>
          <w:sz w:val="22"/>
          <w:szCs w:val="22"/>
        </w:rPr>
        <w:t xml:space="preserve">με τίτλο: </w:t>
      </w:r>
      <w:r w:rsidR="00D1285C" w:rsidRPr="00E141BC">
        <w:rPr>
          <w:rFonts w:ascii="Arial" w:hAnsi="Arial" w:cs="Arial"/>
          <w:color w:val="000000"/>
          <w:spacing w:val="-6"/>
          <w:sz w:val="22"/>
          <w:szCs w:val="22"/>
        </w:rPr>
        <w:t xml:space="preserve">«ΕΝΕΡΓΕΙΑΚΗ ΑΝΑΒΑΘΜΙΣΗ ΚΑΙ ΕΚΣΥΓΧΡΟΝΙΣΜΟΣ ΥΠΟΔΟΜΩΝ ΕΓΓΕΙΩΝ </w:t>
      </w:r>
      <w:r w:rsidR="00D1285C" w:rsidRPr="00E141BC">
        <w:rPr>
          <w:rFonts w:ascii="Arial" w:hAnsi="Arial" w:cs="Arial"/>
          <w:color w:val="000000"/>
          <w:spacing w:val="-3"/>
          <w:sz w:val="22"/>
          <w:szCs w:val="22"/>
        </w:rPr>
        <w:t xml:space="preserve">ΒΕΛΤΙΩΣΕΩΝ </w:t>
      </w:r>
      <w:r w:rsidR="00D1285C">
        <w:rPr>
          <w:rFonts w:ascii="Arial" w:hAnsi="Arial" w:cs="Arial"/>
          <w:color w:val="000000"/>
          <w:spacing w:val="-3"/>
          <w:sz w:val="22"/>
          <w:szCs w:val="22"/>
        </w:rPr>
        <w:t xml:space="preserve">ΤΟΥ ΔΗΜΟΥ ΛΕΒΑΔΕΩΝ», </w:t>
      </w:r>
      <w:r w:rsidR="00D1285C" w:rsidRPr="00D1285C">
        <w:rPr>
          <w:rFonts w:ascii="Arial" w:eastAsia="Cambria" w:hAnsi="Arial" w:cs="Arial"/>
          <w:sz w:val="22"/>
          <w:szCs w:val="22"/>
        </w:rPr>
        <w:t>1.012.700,00 € χωρίς Φ.Π.Α</w:t>
      </w:r>
      <w:r w:rsidR="00D1285C" w:rsidRPr="00D1285C">
        <w:rPr>
          <w:rFonts w:ascii="Arial" w:hAnsi="Arial" w:cs="Arial"/>
          <w:sz w:val="22"/>
          <w:szCs w:val="22"/>
        </w:rPr>
        <w:t xml:space="preserve">. (1.255.748,00 € με Φ.Π.Α. 24%) , </w:t>
      </w:r>
      <w:r w:rsidR="00D1285C" w:rsidRPr="00D1285C">
        <w:rPr>
          <w:rFonts w:ascii="Arial" w:hAnsi="Arial" w:cs="Arial"/>
          <w:bCs/>
          <w:sz w:val="22"/>
          <w:szCs w:val="22"/>
        </w:rPr>
        <w:t xml:space="preserve">σύμφωνα με την   </w:t>
      </w:r>
      <w:r w:rsidR="00D1285C" w:rsidRPr="00D1285C">
        <w:rPr>
          <w:rFonts w:ascii="Arial" w:hAnsi="Arial" w:cs="Arial"/>
          <w:sz w:val="22"/>
          <w:szCs w:val="22"/>
        </w:rPr>
        <w:t>υπ’ αρ</w:t>
      </w:r>
      <w:r w:rsidR="00D1285C" w:rsidRPr="00D1285C">
        <w:rPr>
          <w:rFonts w:ascii="Arial" w:hAnsi="Arial" w:cs="Arial"/>
          <w:color w:val="000000"/>
          <w:sz w:val="22"/>
          <w:szCs w:val="22"/>
        </w:rPr>
        <w:t>. 29</w:t>
      </w:r>
      <w:r w:rsidR="00D1285C" w:rsidRPr="00D1285C">
        <w:rPr>
          <w:rFonts w:ascii="Arial" w:hAnsi="Arial" w:cs="Arial"/>
          <w:bCs/>
          <w:color w:val="000000"/>
          <w:sz w:val="22"/>
          <w:szCs w:val="22"/>
        </w:rPr>
        <w:t>/2022</w:t>
      </w:r>
      <w:r w:rsidR="00D1285C" w:rsidRPr="00D1285C">
        <w:rPr>
          <w:rFonts w:ascii="Arial" w:hAnsi="Arial" w:cs="Arial"/>
          <w:bCs/>
          <w:color w:val="666666"/>
          <w:sz w:val="22"/>
          <w:szCs w:val="22"/>
        </w:rPr>
        <w:t xml:space="preserve"> </w:t>
      </w:r>
      <w:r w:rsidR="00D1285C" w:rsidRPr="00D1285C">
        <w:rPr>
          <w:rFonts w:ascii="Arial" w:hAnsi="Arial" w:cs="Arial"/>
          <w:bCs/>
          <w:sz w:val="22"/>
          <w:szCs w:val="22"/>
        </w:rPr>
        <w:t>μελέτη</w:t>
      </w:r>
      <w:r w:rsidR="00D1285C" w:rsidRPr="00D1285C">
        <w:rPr>
          <w:rFonts w:ascii="Arial" w:hAnsi="Arial" w:cs="Arial"/>
          <w:sz w:val="22"/>
          <w:szCs w:val="22"/>
        </w:rPr>
        <w:t xml:space="preserve">  της Δ/</w:t>
      </w:r>
      <w:proofErr w:type="spellStart"/>
      <w:r w:rsidR="00D1285C" w:rsidRPr="00D1285C">
        <w:rPr>
          <w:rFonts w:ascii="Arial" w:hAnsi="Arial" w:cs="Arial"/>
          <w:sz w:val="22"/>
          <w:szCs w:val="22"/>
        </w:rPr>
        <w:t>νσης</w:t>
      </w:r>
      <w:proofErr w:type="spellEnd"/>
      <w:r w:rsidR="00D1285C" w:rsidRPr="00D1285C">
        <w:rPr>
          <w:rFonts w:ascii="Arial" w:hAnsi="Arial" w:cs="Arial"/>
          <w:sz w:val="22"/>
          <w:szCs w:val="22"/>
        </w:rPr>
        <w:t xml:space="preserve"> Τεχνικών Υπηρεσιών</w:t>
      </w:r>
      <w:r w:rsidR="00D1285C">
        <w:rPr>
          <w:rFonts w:ascii="Arial" w:hAnsi="Arial" w:cs="Arial"/>
          <w:sz w:val="22"/>
          <w:szCs w:val="22"/>
        </w:rPr>
        <w:t xml:space="preserve"> , </w:t>
      </w:r>
      <w:r w:rsidR="00D1285C" w:rsidRPr="00324F3D">
        <w:rPr>
          <w:rFonts w:ascii="Arial" w:hAnsi="Arial" w:cs="Arial"/>
          <w:i/>
          <w:sz w:val="22"/>
          <w:szCs w:val="22"/>
        </w:rPr>
        <w:t xml:space="preserve"> </w:t>
      </w:r>
      <w:r w:rsidRPr="00385303">
        <w:rPr>
          <w:rFonts w:ascii="Arial" w:hAnsi="Arial" w:cs="Arial"/>
          <w:sz w:val="22"/>
          <w:szCs w:val="22"/>
        </w:rPr>
        <w:t>ως παρακάτω:</w:t>
      </w:r>
    </w:p>
    <w:p w:rsidR="00072E76" w:rsidRPr="00072E76" w:rsidRDefault="00C77F96" w:rsidP="00072E76">
      <w:r>
        <w:t xml:space="preserve">1. </w:t>
      </w:r>
      <w:r w:rsidR="00072E76" w:rsidRPr="00072E76">
        <w:t>ΑΝΑΘΕΤΟΥΣΑ ΑΡΧΗ ΚΑΙ ΑΝΤΙΚΕΙΜΕΝΟ ΣΥΜΒΑΣΗΣ</w:t>
      </w:r>
    </w:p>
    <w:p w:rsidR="00072E76" w:rsidRPr="00072E76" w:rsidRDefault="00072E76" w:rsidP="00072E76">
      <w:bookmarkStart w:id="6" w:name="__RefHeading___Toc470009772"/>
      <w:r w:rsidRPr="00072E76">
        <w:t>1.1</w:t>
      </w:r>
      <w:r w:rsidRPr="00072E76">
        <w:tab/>
        <w:t>Στοιχεία Αναθέτουσας Αρχής</w:t>
      </w:r>
      <w:bookmarkEnd w:id="6"/>
    </w:p>
    <w:tbl>
      <w:tblPr>
        <w:tblW w:w="0" w:type="auto"/>
        <w:tblInd w:w="108" w:type="dxa"/>
        <w:tblLayout w:type="fixed"/>
        <w:tblLook w:val="0000"/>
      </w:tblPr>
      <w:tblGrid>
        <w:gridCol w:w="4678"/>
        <w:gridCol w:w="4696"/>
      </w:tblGrid>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Επωνυμία</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 xml:space="preserve">ΔΗΜΟΣ ΛΕΒΑΔΕΩΝ </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Αριθμός Φορολογικού Μητρώου (Α.Φ.Μ.)</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998016227</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Κωδικός ηλεκτρονικής τιμολόγησης</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1007.E82801.0001</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Ταχυδρομική διεύθυνση</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Πλατεία Λάμπρου Κατσώνη</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Πόλη</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Λιβαδειά</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Ταχυδρομικός Κωδικός</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32 131</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Χώρα</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Ελλάδα</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Κωδικός NUTS</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 xml:space="preserve">EL641 Βοιωτία / </w:t>
            </w:r>
            <w:proofErr w:type="spellStart"/>
            <w:r w:rsidRPr="00072E76">
              <w:t>Voiotia</w:t>
            </w:r>
            <w:proofErr w:type="spellEnd"/>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Τηλέφωνο</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22613 50829</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Φαξ</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22613 50881</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 xml:space="preserve">Ηλεκτρονικό Ταχυδρομείο </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953207" w:rsidP="00072E76">
            <w:hyperlink r:id="rId8" w:history="1">
              <w:r w:rsidR="00072E76" w:rsidRPr="00072E76">
                <w:t>gvarelas@livadia.gr</w:t>
              </w:r>
            </w:hyperlink>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Αρμόδιος για πληροφορίες</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072E76" w:rsidP="00072E76">
            <w:r w:rsidRPr="00072E76">
              <w:t>Γεώργιος Βαρελάς</w:t>
            </w:r>
          </w:p>
        </w:tc>
      </w:tr>
      <w:tr w:rsidR="00072E76" w:rsidRPr="00072E76" w:rsidTr="00072E76">
        <w:tc>
          <w:tcPr>
            <w:tcW w:w="4678" w:type="dxa"/>
            <w:tcBorders>
              <w:top w:val="single" w:sz="4" w:space="0" w:color="000000"/>
              <w:left w:val="single" w:sz="4" w:space="0" w:color="000000"/>
              <w:bottom w:val="single" w:sz="4" w:space="0" w:color="000000"/>
            </w:tcBorders>
            <w:shd w:val="clear" w:color="auto" w:fill="auto"/>
          </w:tcPr>
          <w:p w:rsidR="00072E76" w:rsidRPr="00072E76" w:rsidRDefault="00072E76" w:rsidP="00072E76">
            <w:r w:rsidRPr="00072E76">
              <w:t>Γενική Διεύθυνση στο διαδίκτυο  (URL)</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072E76" w:rsidRPr="00072E76" w:rsidRDefault="00953207" w:rsidP="00072E76">
            <w:hyperlink r:id="rId9" w:history="1">
              <w:r w:rsidR="00072E76" w:rsidRPr="00072E76">
                <w:t>http://dimoslevadeon.gr</w:t>
              </w:r>
            </w:hyperlink>
          </w:p>
        </w:tc>
      </w:tr>
    </w:tbl>
    <w:p w:rsidR="00072E76" w:rsidRPr="00072E76" w:rsidRDefault="00072E76" w:rsidP="00072E76">
      <w:r w:rsidRPr="00072E76">
        <w:lastRenderedPageBreak/>
        <w:t xml:space="preserve">Είδος Αναθέτουσας Αρχής </w:t>
      </w:r>
    </w:p>
    <w:p w:rsidR="00072E76" w:rsidRPr="00072E76" w:rsidRDefault="00072E76" w:rsidP="00072E76">
      <w:r w:rsidRPr="00072E76">
        <w:t xml:space="preserve">Η Αναθέτουσα Αρχή είναι ο Δήμος </w:t>
      </w:r>
      <w:proofErr w:type="spellStart"/>
      <w:r w:rsidRPr="00072E76">
        <w:t>Λεβαδέων</w:t>
      </w:r>
      <w:proofErr w:type="spellEnd"/>
      <w:r w:rsidRPr="00072E76">
        <w:t xml:space="preserve"> είναι μη κεντρική αναθέτουσα αρχή και ανήκει στη Γενική Κυβέρνηση, Υποτομέας ΟΤΑ.</w:t>
      </w:r>
    </w:p>
    <w:p w:rsidR="00072E76" w:rsidRPr="00072E76" w:rsidRDefault="00072E76" w:rsidP="00072E76">
      <w:r w:rsidRPr="00072E76">
        <w:t>Κύρια δραστηριότητα Α.Α.</w:t>
      </w:r>
    </w:p>
    <w:p w:rsidR="00072E76" w:rsidRPr="00072E76" w:rsidRDefault="00072E76" w:rsidP="00072E76">
      <w:r w:rsidRPr="00072E76">
        <w:t xml:space="preserve">Η κύρια δραστηριότητα της Αναθέτουσας Αρχής είναι Γενικές Δημόσιες Υπηρεσίες. </w:t>
      </w:r>
    </w:p>
    <w:p w:rsidR="00072E76" w:rsidRPr="00072E76" w:rsidRDefault="00072E76" w:rsidP="00072E76">
      <w:r w:rsidRPr="00072E76">
        <w:t xml:space="preserve">Στοιχεία Επικοινωνίας </w:t>
      </w:r>
    </w:p>
    <w:p w:rsidR="00072E76" w:rsidRPr="00072E76" w:rsidRDefault="00072E76" w:rsidP="00072E76">
      <w:r w:rsidRPr="00072E76">
        <w:t xml:space="preserve">α)Τα έγγραφα της σύμβασης είναι διαθέσιμα για ελεύθερη, πλήρη, άμεση &amp; δωρεάν ηλεκτρονική πρόσβαση μέσω της διαδικτυακής πύλης </w:t>
      </w:r>
      <w:hyperlink r:id="rId10" w:history="1">
        <w:r w:rsidRPr="00072E76">
          <w:t>www.promitheus.gov.gr</w:t>
        </w:r>
      </w:hyperlink>
      <w:r w:rsidRPr="00072E76">
        <w:t xml:space="preserve"> του ΟΠΣ Ε.Σ.Η.ΔΗ.Σ.</w:t>
      </w:r>
    </w:p>
    <w:p w:rsidR="00072E76" w:rsidRPr="00072E76" w:rsidRDefault="00072E76" w:rsidP="00072E76">
      <w:r w:rsidRPr="00072E76">
        <w:t xml:space="preserve">β) 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072E76">
        <w:t>προσβάσιμο</w:t>
      </w:r>
      <w:proofErr w:type="spellEnd"/>
      <w:r w:rsidRPr="00072E76">
        <w:t xml:space="preserve"> από τη Διαδικτυακή Πύλη (</w:t>
      </w:r>
      <w:proofErr w:type="spellStart"/>
      <w:r w:rsidRPr="00072E76">
        <w:t>www.promitheus.gov.gr</w:t>
      </w:r>
      <w:proofErr w:type="spellEnd"/>
      <w:r w:rsidRPr="00072E76">
        <w:t>) του ΟΠΣ ΕΣΗΔΗΣ.</w:t>
      </w:r>
    </w:p>
    <w:p w:rsidR="00072E76" w:rsidRPr="00072E76" w:rsidRDefault="00072E76" w:rsidP="00072E76">
      <w:r w:rsidRPr="00072E76">
        <w:t xml:space="preserve">γ)Περαιτέρω πληροφορίες είναι διαθέσιμες από ανωτέρω διεύθυνση. </w:t>
      </w:r>
    </w:p>
    <w:p w:rsidR="00072E76" w:rsidRPr="00072E76" w:rsidRDefault="00072E76" w:rsidP="00072E76"/>
    <w:p w:rsidR="00072E76" w:rsidRPr="00072E76" w:rsidRDefault="00072E76" w:rsidP="00072E76">
      <w:bookmarkStart w:id="7" w:name="__RefHeading___Toc470009773"/>
      <w:bookmarkEnd w:id="7"/>
      <w:r w:rsidRPr="00072E76">
        <w:t>1.2</w:t>
      </w:r>
      <w:r w:rsidRPr="00072E76">
        <w:tab/>
        <w:t>Στοιχεία Διαδικασίας-Χρηματοδότηση</w:t>
      </w:r>
    </w:p>
    <w:p w:rsidR="00072E76" w:rsidRPr="00072E76" w:rsidRDefault="00072E76" w:rsidP="00072E76">
      <w:r w:rsidRPr="00072E76">
        <w:t xml:space="preserve">Είδος διαδικασίας </w:t>
      </w:r>
    </w:p>
    <w:p w:rsidR="00072E76" w:rsidRPr="00072E76" w:rsidRDefault="00072E76" w:rsidP="00072E76">
      <w:r w:rsidRPr="00072E76">
        <w:t xml:space="preserve">Ο διαγωνισμός θα διεξαχθεί με την ανοικτή διαδικασία του άρθρου 27 του ν. 4412/16. </w:t>
      </w:r>
    </w:p>
    <w:p w:rsidR="00072E76" w:rsidRPr="00072E76" w:rsidRDefault="00072E76" w:rsidP="00072E76">
      <w:r w:rsidRPr="00072E76">
        <w:t>Χρηματοδότηση της σύμβασης</w:t>
      </w:r>
    </w:p>
    <w:p w:rsidR="00072E76" w:rsidRPr="00072E76" w:rsidRDefault="00072E76" w:rsidP="00072E76">
      <w:bookmarkStart w:id="8" w:name="_Hlk15393880"/>
      <w:bookmarkStart w:id="9" w:name="_Hlk484535417"/>
      <w:r w:rsidRPr="00072E76">
        <w:t xml:space="preserve">Φορέας χρηματοδότησης της παρούσας σύμβασης είναι το ΠΡΟΓΡΑΜΜΑ ΑΓΡΟΤΙΚΗΣ ΑΝΑΠΤΥΞΗΣ (ΠΑΑ) 2014-2020 του Υπουργείου Αγροτικής Ανάπτυξης &amp; </w:t>
      </w:r>
      <w:proofErr w:type="spellStart"/>
      <w:r w:rsidRPr="00072E76">
        <w:t>Τροφίμωνκαι</w:t>
      </w:r>
      <w:proofErr w:type="spellEnd"/>
      <w:r w:rsidRPr="00072E76">
        <w:t xml:space="preserve"> ειδικά το Ευρωπαϊκό Γεωργικό Ταμείο </w:t>
      </w:r>
      <w:proofErr w:type="spellStart"/>
      <w:r w:rsidRPr="00072E76">
        <w:t>Αγρ</w:t>
      </w:r>
      <w:proofErr w:type="spellEnd"/>
      <w:r w:rsidRPr="00072E76">
        <w:t xml:space="preserve">. Ανάπτυξης ΕΓΤΑΑ με Κωδικό </w:t>
      </w:r>
      <w:proofErr w:type="spellStart"/>
      <w:r w:rsidRPr="00072E76">
        <w:t>ενάριθμο</w:t>
      </w:r>
      <w:proofErr w:type="spellEnd"/>
      <w:r w:rsidRPr="00072E76">
        <w:t xml:space="preserve"> 2023ΣΕ08210014 της Σ.Α.Ε. 082/1 του Προγράμματος Δημοσίων Επενδύσεων (Π.Δ.Ε.). </w:t>
      </w:r>
    </w:p>
    <w:p w:rsidR="00072E76" w:rsidRPr="00072E76" w:rsidRDefault="00072E76" w:rsidP="00072E76">
      <w:r w:rsidRPr="00072E76">
        <w:t xml:space="preserve">Φορέας υλοποίησης της παρούσας σύμβασης είναι ο Δήμος </w:t>
      </w:r>
      <w:proofErr w:type="spellStart"/>
      <w:r w:rsidRPr="00072E76">
        <w:t>Λεβαδέων</w:t>
      </w:r>
      <w:proofErr w:type="spellEnd"/>
      <w:r w:rsidRPr="00072E76">
        <w:t>. Η δαπάνη για την εν λόγω σύμβαση βαρύνει την με Κ.Α. : 63/7341.003 σχετική πίστωση του προϋπολογισμού οικονομικού έτους 2023 του Φορέα υλοποίησης.</w:t>
      </w:r>
    </w:p>
    <w:p w:rsidR="00072E76" w:rsidRPr="00072E76" w:rsidRDefault="00072E76" w:rsidP="00072E76">
      <w:r w:rsidRPr="00072E76">
        <w:t xml:space="preserve">Για την παρούσα διαδικασία έχει εκδοθεί η απόφαση έγκρισης πολυετούς δαπάνης με αρ. </w:t>
      </w:r>
      <w:proofErr w:type="spellStart"/>
      <w:r w:rsidRPr="00072E76">
        <w:t>πρωτ</w:t>
      </w:r>
      <w:proofErr w:type="spellEnd"/>
      <w:r w:rsidRPr="00072E76">
        <w:t xml:space="preserve">.  11166/08-06-2023 (ΑΔΑΜ : 23REQ012885675 2023-06-15, ΑΔΑ : 9ΑΨ5ΩΛΗ-76Χ) για την ανάληψη υποχρέωσης/έγκριση δέσμευσης πίστωσης για το οικονομικά έτη 2023 και 2024 </w:t>
      </w:r>
    </w:p>
    <w:p w:rsidR="00072E76" w:rsidRPr="00072E76" w:rsidRDefault="00072E76" w:rsidP="00072E76">
      <w:r w:rsidRPr="00072E76">
        <w:t xml:space="preserve">Για το οικ. έτος 2023 έχει εκδοθεί η Απόφαση Ανάληψης Υποχρέωσης Δημάρχου </w:t>
      </w:r>
      <w:proofErr w:type="spellStart"/>
      <w:r w:rsidRPr="00072E76">
        <w:t>Λεβαδέων</w:t>
      </w:r>
      <w:proofErr w:type="spellEnd"/>
      <w:r w:rsidRPr="00072E76">
        <w:t xml:space="preserve"> με Α.Π. 11167/08-06-2023 ( ΑΔΑ : ΡΟΘΑΩΛΗ-ΘΜ67 ) με την οποία εγκρίνεται και διατίθεται πίστωση ύψους 50.000,00€ του Κ.Α. 63/7341.003 και έλαβε α/α 688/2023 καταχώρησης  στο μητρώο δεσμεύσεων του φορέα.</w:t>
      </w:r>
    </w:p>
    <w:bookmarkEnd w:id="8"/>
    <w:p w:rsidR="00072E76" w:rsidRPr="00072E76" w:rsidRDefault="00072E76" w:rsidP="00072E76">
      <w:r w:rsidRPr="00072E76">
        <w:t xml:space="preserve">Η σύμβαση περιλαμβάνεται στο Υποέργο Νο2 της πράξης με τίτλο «ΕΚΣΥΓΧΡΟΝΙΣΜΟΣ ΥΠΟΔΟΜΩΝ ΤΗΣ ΧΡΗΣΗΣ ΝΕΡΟΥ ΕΓΓΕΙΩΝ ΒΕΛΤΙΩΣΕΩΝ ΤΟΥ ΔΗΜΟΥ ΛΕΒΑΔΕΩΝ» και αφορά την προμήθεια με τίτλο «ΕΝΕΡΓΕΙΑΚΗ ΑΝΑΒΑΘΜΙΣΗ ΚΑΙ ΕΚΣΥΓΧΡΟΝΙΣΜΟΣ ΥΠΟΔΟΜΩΝ ΕΓΓΕΙΩΝ ΒΕΛΤΙΩΣΕΩΝ ΤΟΥ ΔΗΜΟΥ ΛΕΒΑΔΕΩΝ» η οποία εντάχθηκε στο </w:t>
      </w:r>
      <w:bookmarkStart w:id="10" w:name="_Hlk84841029"/>
      <w:r w:rsidRPr="00072E76">
        <w:t xml:space="preserve">ΠΡΟΓΡΑΜΜΑ ΑΓΡΟΤΙΚΗΣ ΑΝΑΠΤΥΞΗΣ (ΠΑΑ) 2014-2020,ΜΕΤΡΟ 4 «Επενδύσεις σε υλικά στοιχεία του ενεργητικού», Δράση 4.3.1 «Υποδομές εγγείων βελτιώσεων» Περιφέρειας Στερεάς Ελλάδας του Υπουργείου Αγροτικής Ανάπτυξης &amp; Τροφίμων (Αρ. </w:t>
      </w:r>
      <w:proofErr w:type="spellStart"/>
      <w:r w:rsidRPr="00072E76">
        <w:t>Πρωτ</w:t>
      </w:r>
      <w:proofErr w:type="spellEnd"/>
      <w:r w:rsidRPr="00072E76">
        <w:t>. Απόφασης Ένταξης 1147/07-04-2023 ΑΔΑ: 65ΩΟ4653ΠΓ-ΦΛΤ)</w:t>
      </w:r>
      <w:bookmarkEnd w:id="10"/>
      <w:r w:rsidRPr="00072E76">
        <w:t xml:space="preserve"> και αφορά στην προμήθεια με τίτλο «ΕΝΕΡΓΕΙΑΚΗ ΑΝΑΒΑΘΜΙΣΗ ΚΑΙ ΕΚΣΥΓΧΡΟΝΙΣΜΟΣ ΥΠΟΔΟΜΩΝ ΕΓΓΕΙΩΝ ΒΕΛΤΙΩΣΕΩΝ ΤΟΥ ΔΗΜΟΥ ΛΕΒΑΔΕΩΝ»</w:t>
      </w:r>
    </w:p>
    <w:p w:rsidR="00072E76" w:rsidRPr="00072E76" w:rsidRDefault="00072E76" w:rsidP="00072E76">
      <w:bookmarkStart w:id="11" w:name="__RefHeading___Toc470009774"/>
      <w:bookmarkEnd w:id="9"/>
    </w:p>
    <w:p w:rsidR="00072E76" w:rsidRPr="00072E76" w:rsidRDefault="00072E76" w:rsidP="00072E76">
      <w:r w:rsidRPr="00072E76">
        <w:t>1.3</w:t>
      </w:r>
      <w:r w:rsidRPr="00072E76">
        <w:tab/>
        <w:t>Συνοπτική Περιγραφή φυσικού και οικονομικού αντικειμένου της σύμβασης</w:t>
      </w:r>
      <w:bookmarkEnd w:id="11"/>
    </w:p>
    <w:p w:rsidR="00072E76" w:rsidRPr="00072E76" w:rsidRDefault="00072E76" w:rsidP="00072E76">
      <w:bookmarkStart w:id="12" w:name="_Hlk484535399"/>
      <w:r w:rsidRPr="00072E76">
        <w:t>Ο Διαγωνισμός αφορά στην προμήθεια και εγκατάσταση οργάνων μέτρησης βασικών παραμέτρων για τον έλεγχο του δικτύου και συγκεκριμένα:</w:t>
      </w:r>
    </w:p>
    <w:p w:rsidR="00072E76" w:rsidRPr="00072E76" w:rsidRDefault="00072E76" w:rsidP="00072E76">
      <w:r w:rsidRPr="00072E76">
        <w:t xml:space="preserve">Προμήθεια, εγκατάσταση και θέση σε λειτουργία τεσσάρων (4) Τοπικών Σταθμών Άρδευσης (ΤΣΑ), σε τρεις (3) Γεωτρήσεις και μία (1) </w:t>
      </w:r>
      <w:proofErr w:type="spellStart"/>
      <w:r w:rsidRPr="00072E76">
        <w:t>Λιμνοδεξαμενή</w:t>
      </w:r>
      <w:proofErr w:type="spellEnd"/>
      <w:r w:rsidRPr="00072E76">
        <w:t xml:space="preserve"> για την παρακολούθηση κρίσιμων παραμέτρων (πίεση, παροχή, ενέργεια) καθώς και τη δραστική μείωση της καταναλισκόμενης ενέργειας στις υποδομές του αρδευτικού δικτύου του Δήμου </w:t>
      </w:r>
      <w:proofErr w:type="spellStart"/>
      <w:r w:rsidRPr="00072E76">
        <w:t>Λεβαδέων</w:t>
      </w:r>
      <w:proofErr w:type="spellEnd"/>
      <w:r w:rsidRPr="00072E76">
        <w:t xml:space="preserve">. Μέσω των σταθμών αυτών θα υπάρχει παρακολούθηση των απωλειών του δικτύου, θα δοθούν πρόσθετα δεδομένα για </w:t>
      </w:r>
      <w:r w:rsidRPr="00072E76">
        <w:lastRenderedPageBreak/>
        <w:t xml:space="preserve">τον ακριβέστερο υπολογισμό του υδατικού ισοζυγίου και η Τεχνική Υπηρεσία του Δήμου </w:t>
      </w:r>
      <w:proofErr w:type="spellStart"/>
      <w:r w:rsidRPr="00072E76">
        <w:t>Λεβαδέων</w:t>
      </w:r>
      <w:proofErr w:type="spellEnd"/>
      <w:r w:rsidRPr="00072E76">
        <w:t xml:space="preserve"> θα οδηγηθεί στην αποδοτικότερη λειτουργία της, μειώνοντας δραστικά περαιτέρω το κόστος σπατάλης νερού.</w:t>
      </w:r>
    </w:p>
    <w:p w:rsidR="00072E76" w:rsidRPr="00072E76" w:rsidRDefault="00072E76" w:rsidP="00072E76">
      <w:r w:rsidRPr="00072E76">
        <w:t xml:space="preserve">Προμήθεια, εγκατάσταση και θέση σε λειτουργία ενενήντα πέντε (95) Υδροληψιών(ΥΔΡ) για την ακριβή μέτρηση της κατανάλωσης, την αυτοματοποιημένη λήψη των ενδείξεων και την απομακρυσμένη παρακολούθησή τους, </w:t>
      </w:r>
    </w:p>
    <w:p w:rsidR="00072E76" w:rsidRPr="00072E76" w:rsidRDefault="00072E76" w:rsidP="00072E76">
      <w:r w:rsidRPr="00072E76">
        <w:t xml:space="preserve">Προμήθεια, εγκατάσταση και θέση σε λειτουργία τριών (3) Μετεωρολογικών Σταθμών (ΜΕΤ) με σκοπό την υποβοήθηση μετάβασης από την συμβατική μορφή διαχείρισης αγροτικών εκμεταλλεύσεων στην γεωργία ακριβείας και κυρίως στον τομέα της άρδευσης για την εξοικονόμηση αρδευτικού νερού, </w:t>
      </w:r>
    </w:p>
    <w:p w:rsidR="00072E76" w:rsidRPr="00072E76" w:rsidRDefault="00072E76" w:rsidP="00072E76">
      <w:r w:rsidRPr="00072E76">
        <w:t>Προμήθεια Φορητών Σταθμών Ελέγχου (Φ.Σ.Ε.), για τον έλεγχο των δικτύων και του εξοπλισμού αυτών που περιλαμβάνουν:</w:t>
      </w:r>
    </w:p>
    <w:p w:rsidR="00072E76" w:rsidRPr="00072E76" w:rsidRDefault="00072E76" w:rsidP="00072E76">
      <w:r w:rsidRPr="00072E76">
        <w:t xml:space="preserve">Φορητό </w:t>
      </w:r>
      <w:proofErr w:type="spellStart"/>
      <w:r w:rsidRPr="00072E76">
        <w:t>παροχόμετρο</w:t>
      </w:r>
      <w:proofErr w:type="spellEnd"/>
    </w:p>
    <w:p w:rsidR="00072E76" w:rsidRPr="00072E76" w:rsidRDefault="00072E76" w:rsidP="00072E76">
      <w:r w:rsidRPr="00072E76">
        <w:t xml:space="preserve">Ακουστικό </w:t>
      </w:r>
      <w:proofErr w:type="spellStart"/>
      <w:r w:rsidRPr="00072E76">
        <w:t>γαιόφωνο</w:t>
      </w:r>
      <w:proofErr w:type="spellEnd"/>
    </w:p>
    <w:p w:rsidR="00072E76" w:rsidRPr="00072E76" w:rsidRDefault="00072E76" w:rsidP="00072E76">
      <w:r w:rsidRPr="00072E76">
        <w:t>Κάμερα επισκόπησης αγωγών</w:t>
      </w:r>
    </w:p>
    <w:p w:rsidR="00072E76" w:rsidRPr="00072E76" w:rsidRDefault="00072E76" w:rsidP="00072E76">
      <w:r w:rsidRPr="00072E76">
        <w:t>Καταγραφικά θορύβου και</w:t>
      </w:r>
    </w:p>
    <w:p w:rsidR="00072E76" w:rsidRPr="00072E76" w:rsidRDefault="00072E76" w:rsidP="00072E76">
      <w:r w:rsidRPr="00072E76">
        <w:t>Διάταξη εντοπισμού μεταλλικών αντικειμένων</w:t>
      </w:r>
    </w:p>
    <w:p w:rsidR="00072E76" w:rsidRPr="00072E76" w:rsidRDefault="00072E76" w:rsidP="00072E76">
      <w:r w:rsidRPr="00072E76">
        <w:t xml:space="preserve">Προμήθεια, εγκατάσταση και θέση σε λειτουργία ενός (1) Κεντρικού Σταθμού Ελέγχου (Κ.Σ.Ε.) στον Δήμο </w:t>
      </w:r>
      <w:proofErr w:type="spellStart"/>
      <w:r w:rsidRPr="00072E76">
        <w:t>Λεβαδέων</w:t>
      </w:r>
      <w:proofErr w:type="spellEnd"/>
      <w:r w:rsidRPr="00072E76">
        <w:t xml:space="preserve">. Στον Κεντρικό Σταθμό Ελέγχου θα γίνουν όλες οι απαραίτητες εργασίες και εγκαταστάσεις εξοπλισμού και λογισμικών του συστήματος </w:t>
      </w:r>
      <w:proofErr w:type="spellStart"/>
      <w:r w:rsidRPr="00072E76">
        <w:t>τηλεελέγχου</w:t>
      </w:r>
      <w:proofErr w:type="spellEnd"/>
      <w:r w:rsidRPr="00072E76">
        <w:t>-τηλεχειρισμού, καθώς και η ενσωμάτωση των σταθμών τύπου ΤΣΑ, ΥΔΡ και ΜΕΤ σε μία ενιαία βάση λήψης των σημάτων.</w:t>
      </w:r>
    </w:p>
    <w:p w:rsidR="00072E76" w:rsidRPr="00072E76" w:rsidRDefault="00072E76" w:rsidP="00072E76">
      <w:r w:rsidRPr="00072E76">
        <w:t>Δοκιμαστική λειτουργία του συνολικού συστήματος, καθώς και απρόσκοπτη και χωρίς προβλήματα λειτουργία του συστήματος, από την ημερομηνία θέσεως του σε λειτουργία, με ταυτόχρονη τήρηση των προγραμμάτων ελέγχου, μετρήσεων και συντηρήσεων, τα οποία θα παραδίδονται στην Υπηρεσία και</w:t>
      </w:r>
    </w:p>
    <w:p w:rsidR="00072E76" w:rsidRPr="00072E76" w:rsidRDefault="00072E76" w:rsidP="00072E76">
      <w:r w:rsidRPr="00072E76">
        <w:t>Εκπαίδευση του προσωπικού της Υπηρεσίας κατά το διάστημα της δοκιμαστικής λειτουργίας στην λειτουργία, στη συντήρηση, στις επισκευές και στην τήρηση προγραμμάτων μετρήσεων κ.λπ. της προμήθειας, καθώς και εφοδιασμός του με τα αντίστοιχα πλήρη προγράμματα, βιβλία, εγχειρίδια, καταλόγους ανταλλακτικών και οδηγίες για τη σωστή, εύρυθμη και μακρόχρονη λειτουργία του συστήματος.</w:t>
      </w:r>
    </w:p>
    <w:p w:rsidR="00072E76" w:rsidRPr="00072E76" w:rsidRDefault="00072E76" w:rsidP="00072E76">
      <w:r w:rsidRPr="00072E76">
        <w:t>Αναλυτικά στοιχεία και προδιαγραφές των προς προμήθεια ειδών και υλικών καθώς και οι εργασίες ενσωμάτωσης τους, περιγράφονται στα τεύχη Τεχνικής Περιγραφής και Τεχνικών Προδιαγραφών της 29-2022 μελέτης της Δ/</w:t>
      </w:r>
      <w:proofErr w:type="spellStart"/>
      <w:r w:rsidRPr="00072E76">
        <w:t>νσης</w:t>
      </w:r>
      <w:proofErr w:type="spellEnd"/>
      <w:r w:rsidRPr="00072E76">
        <w:t xml:space="preserve"> Τεχνικών Υπηρεσιών Δήμου </w:t>
      </w:r>
      <w:proofErr w:type="spellStart"/>
      <w:r w:rsidRPr="00072E76">
        <w:t>Λεβαδέων</w:t>
      </w:r>
      <w:proofErr w:type="spellEnd"/>
      <w:r w:rsidRPr="00072E76">
        <w:t xml:space="preserve"> που εγκρίθηκαν με την 143/2022 (ΑΔΑ : ΨΤΑΕΩΛΗ-1ΚΙ) απόφαση Οικονομικής Επιτροπής Δήμου </w:t>
      </w:r>
      <w:proofErr w:type="spellStart"/>
      <w:r w:rsidRPr="00072E76">
        <w:t>Λεβαδέων</w:t>
      </w:r>
      <w:proofErr w:type="spellEnd"/>
      <w:r w:rsidRPr="00072E76">
        <w:t xml:space="preserve"> . </w:t>
      </w:r>
    </w:p>
    <w:p w:rsidR="00072E76" w:rsidRPr="00072E76" w:rsidRDefault="00072E76" w:rsidP="00072E76">
      <w:r w:rsidRPr="00072E76">
        <w:t>Τα προς προμήθεια είδη κατατάσσονται στους ακόλουθους κωδικούς του Κοινού Λεξιλογίου δημοσίων συμβάσεων (CPV) : 32441100-7 «Τηλεμετρικό σύστημα παρακολούθησης» και  32441200-8 «Εξοπλισμός τηλεμετρίας και ελέγχου»</w:t>
      </w:r>
    </w:p>
    <w:p w:rsidR="00072E76" w:rsidRPr="00072E76" w:rsidRDefault="00072E76" w:rsidP="00072E76">
      <w:bookmarkStart w:id="13" w:name="_Hlk77158004"/>
      <w:r w:rsidRPr="00072E76">
        <w:t>Η εκτιμώμενη αξία της σύμβασης ανέρχεται στο ποσό 1.012.700,00€ μη συμπεριλαμβανομένου ΦΠΑ 24 % ποσού ίσο με 243.048,00€ ήτοι συνολική εκτιμώμενη αξία συμπεριλαμβανομένου ΦΠΑ ίση με 1.255.748,00€.</w:t>
      </w:r>
    </w:p>
    <w:bookmarkEnd w:id="13"/>
    <w:p w:rsidR="00072E76" w:rsidRPr="00072E76" w:rsidRDefault="00072E76" w:rsidP="00072E76">
      <w:r w:rsidRPr="00072E76">
        <w:t>Η διάρκεια της σύμβασης ορίζεται  σε δώδεκα (12) μήνες από την ημερομηνία υπογραφής της (9 μήνες για την παράδοση και 3 μήνες για την εκπαίδευση, την τεκμηρίωση και τη δοκιμαστική λειτουργία του συνολικού συστήματος).</w:t>
      </w:r>
    </w:p>
    <w:p w:rsidR="00072E76" w:rsidRPr="00072E76" w:rsidRDefault="00072E76" w:rsidP="00072E76">
      <w:r w:rsidRPr="00072E76">
        <w:t>Αναλυτική περιγραφή του φυσικού και οικονομικού αντικειμένου της σύμβασης δίδεται στα υπόλοιπα συμβατικά τεύχη.</w:t>
      </w:r>
      <w:bookmarkEnd w:id="12"/>
    </w:p>
    <w:p w:rsidR="00072E76" w:rsidRPr="00072E76" w:rsidRDefault="00072E76" w:rsidP="00072E76">
      <w:r w:rsidRPr="00072E76">
        <w:t>Η σύμβαση θα ανατεθεί με το κριτήριο της πλέον συμφέρουσας από οικονομική άποψη προσφοράς, βάσει βέλτιστης σχέσης ποιότητας - τιμής με συντελεστή βαρύτητας τόσο για την τεχνική όσο και για την οικονομική προσφορά.</w:t>
      </w:r>
    </w:p>
    <w:p w:rsidR="00072E76" w:rsidRPr="00072E76" w:rsidRDefault="00072E76" w:rsidP="00072E76">
      <w:bookmarkStart w:id="14" w:name="_Hlk84841087"/>
      <w:r w:rsidRPr="00072E76">
        <w:lastRenderedPageBreak/>
        <w:t>Η εν λόγω πράξη δεν υποδιαιρείται σε τμήματα καθώς το σύνολο του εξοπλισμού, των χρησιμοποιούμενων τεχνολογιών και των λογισμικών συνεργάζονται σε πολλά επίπεδα με αποτέλεσμα η εγκεκριμένη πράξη να μπορεί να δημοπρατηθεί αποκλειστικά και μόνο σαν ενιαία πράξη με το κλειδί στο χέρι (</w:t>
      </w:r>
      <w:proofErr w:type="spellStart"/>
      <w:r w:rsidRPr="00072E76">
        <w:t>turnkeysolution</w:t>
      </w:r>
      <w:proofErr w:type="spellEnd"/>
      <w:r w:rsidRPr="00072E76">
        <w:t>).</w:t>
      </w:r>
    </w:p>
    <w:bookmarkEnd w:id="14"/>
    <w:p w:rsidR="00072E76" w:rsidRPr="00072E76" w:rsidRDefault="00072E76" w:rsidP="00072E76"/>
    <w:p w:rsidR="00072E76" w:rsidRPr="00072E76" w:rsidRDefault="00072E76" w:rsidP="00072E76">
      <w:bookmarkStart w:id="15" w:name="__RefHeading___Toc470009775"/>
      <w:r w:rsidRPr="00072E76">
        <w:t>1.4</w:t>
      </w:r>
      <w:r w:rsidRPr="00072E76">
        <w:tab/>
        <w:t>Θεσμικό πλαίσιο</w:t>
      </w:r>
      <w:bookmarkEnd w:id="15"/>
    </w:p>
    <w:p w:rsidR="00072E76" w:rsidRPr="00072E76" w:rsidRDefault="00072E76" w:rsidP="00072E76">
      <w:r w:rsidRPr="00072E76">
        <w:t xml:space="preserve">Η ανάθεση και εκτέλεση της σύμβασης διέπονται από την κείμενη νομοθεσία και τις </w:t>
      </w:r>
      <w:proofErr w:type="spellStart"/>
      <w:r w:rsidRPr="00072E76">
        <w:t>κατ΄</w:t>
      </w:r>
      <w:proofErr w:type="spellEnd"/>
      <w:r w:rsidRPr="00072E76">
        <w:t xml:space="preserve"> εξουσιοδότηση αυτής εκδοθείσες κανονιστικές πράξεις, όπως ισχύουν και ιδίως:</w:t>
      </w:r>
    </w:p>
    <w:p w:rsidR="00072E76" w:rsidRPr="00072E76" w:rsidRDefault="00072E76" w:rsidP="00072E76">
      <w:bookmarkStart w:id="16" w:name="_Hlk516591254"/>
      <w:bookmarkStart w:id="17" w:name="_Hlk13049776"/>
      <w:r w:rsidRPr="00072E76">
        <w:t>Το ν. 4412/2016 (Α' 147) “Δημόσιες Συμβάσεις Έργων, Προμηθειών και Υπηρεσιών (προσαρμογή στις Οδηγίες 2014/24/ ΕΕ και 2014/25/ΕΕ)», όπως έχει τροποποιηθεί και ισχύει,</w:t>
      </w:r>
    </w:p>
    <w:p w:rsidR="00072E76" w:rsidRPr="00072E76" w:rsidRDefault="00072E76" w:rsidP="00072E76">
      <w:r w:rsidRPr="00072E76">
        <w:t xml:space="preserve">Το ν. 4700/2020 (Α’ 127) «Ενιαίο κείμενο Δικονομίας για το Ελεγκτικό Συνέδριο, ολοκληρωμένο νομοθετικό πλαίσιο για τον </w:t>
      </w:r>
      <w:proofErr w:type="spellStart"/>
      <w:r w:rsidRPr="00072E76">
        <w:t>προσυμβατικό</w:t>
      </w:r>
      <w:proofErr w:type="spellEnd"/>
      <w:r w:rsidRPr="00072E76">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72E76" w:rsidRPr="00072E76" w:rsidRDefault="00072E76" w:rsidP="00072E76">
      <w:r w:rsidRPr="00072E76">
        <w:t>Το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rsidR="00072E76" w:rsidRPr="00072E76" w:rsidRDefault="00072E76" w:rsidP="00072E76">
      <w:r w:rsidRPr="00072E76">
        <w:t>Το ν. 4601/2019 (Α’ 44) «Εταιρικοί µ</w:t>
      </w:r>
      <w:proofErr w:type="spellStart"/>
      <w:r w:rsidRPr="00072E76">
        <w:t>ετασχηµατισµοί</w:t>
      </w:r>
      <w:proofErr w:type="spellEnd"/>
      <w:r w:rsidRPr="00072E76">
        <w:t xml:space="preserve">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συβάσεων και λοιπές διατάξεις»,</w:t>
      </w:r>
    </w:p>
    <w:p w:rsidR="00072E76" w:rsidRPr="00072E76" w:rsidRDefault="00072E76" w:rsidP="00072E76">
      <w:r w:rsidRPr="00072E76">
        <w:t xml:space="preserve">Του άρθρου 11 του ν. 4013/2011 (Α’ 204) «Σύσταση ενιαίας Ανεξάρτητης Αρχής Δημοσίων Συμβάσεων και Κεντρικού Ηλεκτρονικού Μητρώου Δημοσίων Συμβάσεων…», </w:t>
      </w:r>
    </w:p>
    <w:p w:rsidR="00072E76" w:rsidRPr="00072E76" w:rsidRDefault="00072E76" w:rsidP="00072E76">
      <w:r w:rsidRPr="00072E76">
        <w:t xml:space="preserve">Το ν. 3548/2007 (Α’ 68) «Καταχώριση δημοσιεύσεων των φορέων του Δημοσίου στο νομαρχιακό και τοπικό Τύπο και άλλες διατάξεις», </w:t>
      </w:r>
    </w:p>
    <w:p w:rsidR="00072E76" w:rsidRPr="00072E76" w:rsidRDefault="00072E76" w:rsidP="00072E76">
      <w:r w:rsidRPr="00072E76">
        <w:t xml:space="preserve">Το άρθρο 4 του </w:t>
      </w:r>
      <w:proofErr w:type="spellStart"/>
      <w:r w:rsidRPr="00072E76">
        <w:t>π.δ</w:t>
      </w:r>
      <w:proofErr w:type="spellEnd"/>
      <w:r w:rsidRPr="00072E76">
        <w:t>. 118/07 (Α’ 150),</w:t>
      </w:r>
    </w:p>
    <w:p w:rsidR="00072E76" w:rsidRPr="00072E76" w:rsidRDefault="00072E76" w:rsidP="00072E76">
      <w:r w:rsidRPr="00072E76">
        <w:t xml:space="preserve">Το άρθρο 5 της απόφασης με </w:t>
      </w:r>
      <w:proofErr w:type="spellStart"/>
      <w:r w:rsidRPr="00072E76">
        <w:t>αριθμ</w:t>
      </w:r>
      <w:proofErr w:type="spellEnd"/>
      <w:r w:rsidRPr="00072E76">
        <w:t>. 11389/1993 (Β΄ 185) του Υπουργού Εσωτερικών,</w:t>
      </w:r>
    </w:p>
    <w:p w:rsidR="00072E76" w:rsidRPr="00072E76" w:rsidRDefault="00072E76" w:rsidP="00072E76">
      <w:r w:rsidRPr="00072E76">
        <w:t xml:space="preserve">Το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072E76">
        <w:t>π.δ</w:t>
      </w:r>
      <w:proofErr w:type="spellEnd"/>
      <w:r w:rsidRPr="00072E76">
        <w:t>/</w:t>
      </w:r>
      <w:proofErr w:type="spellStart"/>
      <w:r w:rsidRPr="00072E76">
        <w:t>τος</w:t>
      </w:r>
      <w:proofErr w:type="spellEnd"/>
      <w:r w:rsidRPr="00072E76">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w:t>
      </w:r>
    </w:p>
    <w:p w:rsidR="00072E76" w:rsidRPr="00072E76" w:rsidRDefault="00072E76" w:rsidP="00072E76">
      <w:r w:rsidRPr="00072E76">
        <w:t xml:space="preserve">Το </w:t>
      </w:r>
      <w:proofErr w:type="spellStart"/>
      <w:r w:rsidRPr="00072E76">
        <w:t>π.δ</w:t>
      </w:r>
      <w:proofErr w:type="spellEnd"/>
      <w:r w:rsidRPr="00072E76">
        <w:t>. 39/2017 (Α΄64)  «Κανονισμός  εξέτασης  Προδικαστικών  Προσφυγών  ενώπιον  της  Αρχής Εξέτασης Προδικαστικών Προσφυγών»,</w:t>
      </w:r>
    </w:p>
    <w:p w:rsidR="00072E76" w:rsidRPr="00072E76" w:rsidRDefault="00072E76" w:rsidP="00072E76">
      <w:r w:rsidRPr="00072E76">
        <w:t xml:space="preserve">της υπ’ </w:t>
      </w:r>
      <w:proofErr w:type="spellStart"/>
      <w:r w:rsidRPr="00072E76">
        <w:t>αριθμ</w:t>
      </w:r>
      <w:proofErr w:type="spellEnd"/>
      <w:r w:rsidRPr="00072E76">
        <w:t xml:space="preserve">. </w:t>
      </w:r>
      <w:proofErr w:type="spellStart"/>
      <w:r w:rsidRPr="00072E76">
        <w:t>τηςυπ΄αριθμ</w:t>
      </w:r>
      <w:proofErr w:type="spellEnd"/>
      <w:r w:rsidRPr="00072E76">
        <w:t>. Κ.Υ.Α. 52445 ΕΞ 2023 (B’ 2385/12.04.2023) «Υποχρέωση υποβολής ηλεκτρονικών τιμολογίων από τους οικονομικούς φορείς»,</w:t>
      </w:r>
    </w:p>
    <w:p w:rsidR="00072E76" w:rsidRPr="00072E76" w:rsidRDefault="00072E76" w:rsidP="00072E76">
      <w:r w:rsidRPr="00072E76">
        <w:t xml:space="preserve">της υπ’ </w:t>
      </w:r>
      <w:proofErr w:type="spellStart"/>
      <w:r w:rsidRPr="00072E76">
        <w:t>αριθμ</w:t>
      </w:r>
      <w:proofErr w:type="spellEnd"/>
      <w:r w:rsidRPr="00072E76">
        <w:t xml:space="preserve">. 102080/24-10-2022 (Β΄5623/02.11.2022) απόφασης του Υπουργού Ανάπτυξης </w:t>
      </w:r>
      <w:proofErr w:type="spellStart"/>
      <w:r w:rsidRPr="00072E76">
        <w:t>καιΕπενδύσεων</w:t>
      </w:r>
      <w:proofErr w:type="spellEnd"/>
      <w:r w:rsidRPr="00072E76">
        <w:t xml:space="preserve">  «Ρύθμιση θεμάτων σχετικά με την εξέταση επανορθωτικών μέτρων από την Επιτροπή της παρ.  9 του άρθρου 73 του ν. 4412/2016»,</w:t>
      </w:r>
    </w:p>
    <w:p w:rsidR="00072E76" w:rsidRPr="00072E76" w:rsidRDefault="00072E76" w:rsidP="00072E76">
      <w:proofErr w:type="spellStart"/>
      <w:r w:rsidRPr="00072E76">
        <w:t>τηςυπ</w:t>
      </w:r>
      <w:proofErr w:type="spellEnd"/>
      <w:r w:rsidRPr="00072E76">
        <w:t xml:space="preserve">' </w:t>
      </w:r>
      <w:proofErr w:type="spellStart"/>
      <w:r w:rsidRPr="00072E76">
        <w:t>αριθμ</w:t>
      </w:r>
      <w:proofErr w:type="spellEnd"/>
      <w:r w:rsidRPr="00072E76">
        <w:t>. 76928/13.07.2021 Απόφασης των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w:t>
      </w:r>
    </w:p>
    <w:p w:rsidR="00072E76" w:rsidRPr="00072E76" w:rsidRDefault="00072E76" w:rsidP="00072E76">
      <w:r w:rsidRPr="00072E76">
        <w:t xml:space="preserve">την με αρ. 64233/08.06.2021 (Β’ 2453/9.6.2021) Κοινή Απόφαση των Υπουργών Ανάπτυξης και Επενδύσεων και Επικρατείας «Ρυθμίσεις τεχνικών ζητημάτων που αφορούν την ανάθεση των </w:t>
      </w:r>
      <w:r w:rsidRPr="00072E76">
        <w:lastRenderedPageBreak/>
        <w:t>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72E76" w:rsidRPr="00072E76" w:rsidRDefault="00072E76" w:rsidP="00072E76">
      <w:r w:rsidRPr="00072E76">
        <w:t xml:space="preserve">την με </w:t>
      </w:r>
      <w:proofErr w:type="spellStart"/>
      <w:r w:rsidRPr="00072E76">
        <w:t>αριθμ</w:t>
      </w:r>
      <w:proofErr w:type="spellEnd"/>
      <w:r w:rsidRPr="00072E76">
        <w:t xml:space="preserve">. 63446/2021 Κ.Υ.Α. (B’ 2338/02.06.2021) «Καθορισμός Εθνικού </w:t>
      </w:r>
      <w:proofErr w:type="spellStart"/>
      <w:r w:rsidRPr="00072E76">
        <w:t>Μορφότυπου</w:t>
      </w:r>
      <w:proofErr w:type="spellEnd"/>
      <w:r w:rsidRPr="00072E76">
        <w:t xml:space="preserve"> ηλεκτρονικού τιμολογίου στο πλαίσιο των Δημοσίων Συμβάσεων».</w:t>
      </w:r>
    </w:p>
    <w:p w:rsidR="00072E76" w:rsidRPr="00072E76" w:rsidRDefault="00072E76" w:rsidP="00072E76">
      <w:r w:rsidRPr="00072E76">
        <w:t xml:space="preserve">Την με </w:t>
      </w:r>
      <w:proofErr w:type="spellStart"/>
      <w:r w:rsidRPr="00072E76">
        <w:t>αριθμ</w:t>
      </w:r>
      <w:proofErr w:type="spellEnd"/>
      <w:r w:rsidRPr="00072E76">
        <w:t>. Κ.Υ.Α. οικ. 98979 ΕΞ 2021 (Β΄ 3766/13.08.2021) «Ηλεκτρονική Τιμολόγηση στο πλαίσιο των Δημοσίων Συμβάσεων δυνάμει του ν. 4601/2019» (Α΄44)</w:t>
      </w:r>
    </w:p>
    <w:p w:rsidR="00072E76" w:rsidRPr="00072E76" w:rsidRDefault="00072E76" w:rsidP="00072E76">
      <w:r w:rsidRPr="00072E76">
        <w:t xml:space="preserve">την με </w:t>
      </w:r>
      <w:proofErr w:type="spellStart"/>
      <w:r w:rsidRPr="00072E76">
        <w:t>αριθμ</w:t>
      </w:r>
      <w:proofErr w:type="spellEnd"/>
      <w:r w:rsidRPr="00072E76">
        <w:t xml:space="preserve">. 14900/2021 Κ.Υ.Α. (Β’ 466): «Έγκριση σχεδίου Δράσης για τις Πράσινες Δημόσιες Συμβάσεις» (ΑΔΑ: ΨΡΤΟ46ΜΤΛΡ-Χ92). </w:t>
      </w:r>
    </w:p>
    <w:p w:rsidR="00072E76" w:rsidRPr="00072E76" w:rsidRDefault="00072E76" w:rsidP="00072E76">
      <w:r w:rsidRPr="00072E76">
        <w:t xml:space="preserve">του ν. 5005/2022 (Α’ 236) «Ενίσχυση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w:t>
      </w:r>
      <w:proofErr w:type="spellStart"/>
      <w:r w:rsidRPr="00072E76">
        <w:t>ΓενικήςΓραμματείας</w:t>
      </w:r>
      <w:proofErr w:type="spellEnd"/>
      <w:r w:rsidRPr="00072E76">
        <w:t xml:space="preserve"> Επικοινωνίας και Ενημέρωσης και λοιπές επείγουσες ρυθμίσεις»,</w:t>
      </w:r>
    </w:p>
    <w:p w:rsidR="00072E76" w:rsidRPr="00072E76" w:rsidRDefault="00072E76" w:rsidP="00072E76">
      <w:r w:rsidRPr="00072E76">
        <w:t xml:space="preserve">του ν. 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072E76">
        <w:t>Oδηγίας</w:t>
      </w:r>
      <w:proofErr w:type="spellEnd"/>
      <w:r w:rsidRPr="00072E76">
        <w:t xml:space="preserve"> (ΕΕ) 2017/1132, όσον αφορά τη χρήση ψηφιακών εργαλείων και διαδικασιών στον τομέα του εταιρικού δικαίου (L 186) και λοιπές επείγουσες διατάξεις»,</w:t>
      </w:r>
    </w:p>
    <w:p w:rsidR="00072E76" w:rsidRPr="00072E76" w:rsidRDefault="00072E76" w:rsidP="00072E76">
      <w:r w:rsidRPr="00072E76">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p>
    <w:p w:rsidR="00072E76" w:rsidRPr="00072E76" w:rsidRDefault="00072E76" w:rsidP="00072E76">
      <w:r w:rsidRPr="00072E76">
        <w:t xml:space="preserve">Το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72E76" w:rsidRPr="00072E76" w:rsidRDefault="00072E76" w:rsidP="00072E76">
      <w:r w:rsidRPr="00072E76">
        <w:t>Το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72E76" w:rsidRPr="00072E76" w:rsidRDefault="00072E76" w:rsidP="00072E76">
      <w:r w:rsidRPr="00072E76">
        <w:t>Το ν. 4270/2014 (Α' 143) «Αρχές δημοσιονομικής διαχείρισης και εποπτείας (ενσωμάτωση της Οδηγίας 2011/85/ΕΕ) – δημόσιο λογιστικό και άλλες διατάξεις»,</w:t>
      </w:r>
    </w:p>
    <w:p w:rsidR="00072E76" w:rsidRPr="00072E76" w:rsidRDefault="00072E76" w:rsidP="00072E76">
      <w:r w:rsidRPr="00072E76">
        <w:t xml:space="preserve">την παρ. Ζ του Ν. 4152/2013 (Α' 107) με τίτλο «Προσαρμογή της ελληνικής νομοθεσίας στην Οδηγία 2011/7 της 16.2.2011 για την καταπολέμηση των καθυστερήσεων πληρωμών στις εμπορικές συναλλαγές», </w:t>
      </w:r>
    </w:p>
    <w:p w:rsidR="00072E76" w:rsidRPr="00072E76" w:rsidRDefault="00072E76" w:rsidP="00072E76">
      <w:r w:rsidRPr="00072E76">
        <w:t>Το ν. 3419/2005 (Α’ 297) «Γενικό Εμπορικό Μητρώο (Γ.Ε.ΜΗ.) και εκσυγχρονισμός της Επιμελητηριακής Νομοθεσίας»,</w:t>
      </w:r>
    </w:p>
    <w:p w:rsidR="00072E76" w:rsidRPr="00072E76" w:rsidRDefault="00072E76" w:rsidP="00072E76">
      <w:r w:rsidRPr="00072E76">
        <w:t xml:space="preserve">Το ν. 2859/2000 (Α’ 248) «Κύρωση Κώδικα Φόρου Προστιθέμενης Αξίας», </w:t>
      </w:r>
    </w:p>
    <w:p w:rsidR="00072E76" w:rsidRPr="00072E76" w:rsidRDefault="00072E76" w:rsidP="00072E76">
      <w:r w:rsidRPr="00072E76">
        <w:t>Το ν.2690/1999 (Α' 45) “Κύρωση του Κώδικα Διοικητικής Διαδικασίας και άλλες διατάξεις”  και ιδίως των άρθρων 7 και 13 έως 15,</w:t>
      </w:r>
    </w:p>
    <w:p w:rsidR="00072E76" w:rsidRPr="00072E76" w:rsidRDefault="00072E76" w:rsidP="00072E76">
      <w:r w:rsidRPr="00072E76">
        <w:t xml:space="preserve">Το ν. 2121/1993 (Α' 25) “Πνευματική Ιδιοκτησία, Συγγενικά Δικαιώματα και Πολιτιστικά Θέματα”, </w:t>
      </w:r>
    </w:p>
    <w:p w:rsidR="00072E76" w:rsidRPr="00072E76" w:rsidRDefault="00072E76" w:rsidP="00072E76">
      <w:r w:rsidRPr="00072E76">
        <w:t xml:space="preserve">Το </w:t>
      </w:r>
      <w:proofErr w:type="spellStart"/>
      <w:r w:rsidRPr="00072E76">
        <w:t>π.δ</w:t>
      </w:r>
      <w:proofErr w:type="spellEnd"/>
      <w:r w:rsidRPr="00072E76">
        <w:t xml:space="preserve">. 80/2016 (Α΄145) “Ανάληψη υποχρεώσεων από τους </w:t>
      </w:r>
      <w:proofErr w:type="spellStart"/>
      <w:r w:rsidRPr="00072E76">
        <w:t>Διατάκτες</w:t>
      </w:r>
      <w:proofErr w:type="spellEnd"/>
      <w:r w:rsidRPr="00072E76">
        <w:t>”</w:t>
      </w:r>
    </w:p>
    <w:p w:rsidR="00072E76" w:rsidRPr="00072E76" w:rsidRDefault="00072E76" w:rsidP="00072E76">
      <w:r w:rsidRPr="00072E76">
        <w:t xml:space="preserve">Το </w:t>
      </w:r>
      <w:proofErr w:type="spellStart"/>
      <w:r w:rsidRPr="00072E76">
        <w:t>π.δ</w:t>
      </w:r>
      <w:proofErr w:type="spellEnd"/>
      <w:r w:rsidRPr="00072E76">
        <w:t xml:space="preserve"> 28/2015 (Α' 34) “Κωδικοποίηση διατάξεων για την πρόσβαση σε δημόσια έγγραφα και στοιχεία”, </w:t>
      </w:r>
    </w:p>
    <w:p w:rsidR="00072E76" w:rsidRPr="00072E76" w:rsidRDefault="00072E76" w:rsidP="00072E76">
      <w:r w:rsidRPr="00072E76">
        <w:t xml:space="preserve">Τον Κανονισμό (ΕΕ) 2022/576 του Συμβουλίου της 08.04.2022, για την τροποποίηση του κανονισμού (ΕΕ) </w:t>
      </w:r>
      <w:proofErr w:type="spellStart"/>
      <w:r w:rsidRPr="00072E76">
        <w:t>αριθμ</w:t>
      </w:r>
      <w:proofErr w:type="spellEnd"/>
      <w:r w:rsidRPr="00072E76">
        <w:t>. 833/2014 σχετικά με περιοριστικά μέτρα λόγω ενεργειών της Ρωσίας που αποσταθεροποιούν την κατάσταση στην Ουκρανία</w:t>
      </w:r>
    </w:p>
    <w:p w:rsidR="00072E76" w:rsidRPr="00072E76" w:rsidRDefault="00072E76" w:rsidP="00072E76">
      <w:r w:rsidRPr="00072E76">
        <w:t xml:space="preserve">Τον Κανονισμό (ΕΕ) 2016/679 (L 119/4.5.2016)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w:t>
      </w:r>
      <w:r w:rsidRPr="00072E76">
        <w:lastRenderedPageBreak/>
        <w:t xml:space="preserve">δεδομένων αυτών και την κατάργηση της οδηγίας 95/46/ΕΚ (Γενικός Κανονισμός για την Προστασία Δεδομένων) (Κείμενο που παρουσιάζει ενδιαφέρον για τον ΕΟΧ), </w:t>
      </w:r>
    </w:p>
    <w:p w:rsidR="00072E76" w:rsidRPr="00072E76" w:rsidRDefault="00072E76" w:rsidP="00072E76">
      <w:proofErr w:type="spellStart"/>
      <w:r w:rsidRPr="00072E76">
        <w:t>Tων</w:t>
      </w:r>
      <w:proofErr w:type="spellEnd"/>
      <w:r w:rsidRPr="00072E76">
        <w:t xml:space="preserve"> σε εκτέλεση των ανωτέρω νόμων </w:t>
      </w:r>
      <w:proofErr w:type="spellStart"/>
      <w:r w:rsidRPr="00072E76">
        <w:t>εκδοθεισών</w:t>
      </w:r>
      <w:proofErr w:type="spellEnd"/>
      <w:r w:rsidRPr="00072E76">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72E76" w:rsidRPr="00072E76" w:rsidRDefault="00072E76" w:rsidP="00072E76">
      <w:r w:rsidRPr="00072E76">
        <w:t xml:space="preserve">Το ν. 4635/2019 (Α’167) «Επενδύω στην Ελλάδα και άλλες διατάξεις» </w:t>
      </w:r>
    </w:p>
    <w:p w:rsidR="00072E76" w:rsidRPr="00072E76" w:rsidRDefault="00072E76" w:rsidP="00072E76">
      <w:r w:rsidRPr="00072E76">
        <w:t>Τη με αρ. 57654 (Β’ 1781/23.5.2017)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72E76" w:rsidRPr="00072E76" w:rsidRDefault="00072E76" w:rsidP="00072E76">
      <w:r w:rsidRPr="00072E76">
        <w:t>Το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p>
    <w:p w:rsidR="00072E76" w:rsidRPr="00072E76" w:rsidRDefault="00072E76" w:rsidP="00072E76">
      <w:r w:rsidRPr="00072E76">
        <w:t>Τον Κανονισμό αριθ. 910/2014 (L 257/28.8.2014) του Ευρωπαϊκού Κοινοβουλίου και του Συμβουλίου, της 23ης Ιουλίου 2014 ,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w:t>
      </w:r>
    </w:p>
    <w:p w:rsidR="00072E76" w:rsidRPr="00072E76" w:rsidRDefault="00072E76" w:rsidP="00072E76">
      <w:r w:rsidRPr="00072E76">
        <w:t>Τον Κανονισμό (ΕΚ) αριθ. 213/2008 της Επιτροπής της 28ης Νοεμβρίου 2007 για τροποποίηση Κανονισμού (ΕΚ) αριθ. 2195/2002 του Ευρωπαϊκού Κοινοβουλίου και του Συμβουλίου περί του κοινού λεξιλογίου για τις δημόσιες συμβάσεις (CPV) και των οδηγιών του Ευρωπαϊκού Κοινοβουλίου και του Συμβουλίου 2004/17/ΕΚ και 2004/18/ΕΚ περί των διαδικασιών σύναψης δημοσίων συμβάσεων, όσον αφορά την αναθεώρηση του CPV,</w:t>
      </w:r>
    </w:p>
    <w:p w:rsidR="00072E76" w:rsidRPr="00072E76" w:rsidRDefault="00072E76" w:rsidP="00072E76">
      <w:r w:rsidRPr="00072E76">
        <w:t xml:space="preserve">Την ΚΥΑ 14097/757/2012 (ΦΕΚ Β 3346 – 14.12.2012) «Έλεγχος τεχνικών προδιαγραφών στους πλαστικούς σωλήνες και στα εξαρτήματα αυτών για τη μεταφορά πόσιμου νερού, αποχετευτικών λυμάτων και </w:t>
      </w:r>
      <w:proofErr w:type="spellStart"/>
      <w:r w:rsidRPr="00072E76">
        <w:t>ενδοδαπέδια</w:t>
      </w:r>
      <w:proofErr w:type="spellEnd"/>
      <w:r w:rsidRPr="00072E76">
        <w:t xml:space="preserve"> θέρμανση»</w:t>
      </w:r>
    </w:p>
    <w:p w:rsidR="00072E76" w:rsidRPr="00072E76" w:rsidRDefault="00072E76" w:rsidP="00072E76">
      <w:r w:rsidRPr="00072E76">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72E76">
        <w:t>π.δ</w:t>
      </w:r>
      <w:proofErr w:type="spellEnd"/>
      <w:r w:rsidRPr="00072E76">
        <w:t xml:space="preserve">. 318/1992 (Α΄161) και λοιπές ρυθμίσεις» και ειδικότερα τις διατάξεις του άρθρου 1,  </w:t>
      </w:r>
    </w:p>
    <w:p w:rsidR="00072E76" w:rsidRPr="00072E76" w:rsidRDefault="00072E76" w:rsidP="00072E76">
      <w:r w:rsidRPr="00072E76">
        <w:t>Το ν. 4820/2021 (Α’ 130) «Οργανικός Νόμος του Ελεγκτικού Συνεδρίου και άλλες ρυθμίσεις»</w:t>
      </w:r>
    </w:p>
    <w:p w:rsidR="00072E76" w:rsidRPr="00072E76" w:rsidRDefault="00072E76" w:rsidP="00072E76">
      <w:r w:rsidRPr="00072E76">
        <w:t>Την Κ.Υ.Α. Υ2/2600/2001 – «Ποιότητα του νερού ανθρώπινης κατανάλωσης, σε συμμόρφωση προς την οδηγία 98/83/ΕΚ του Συμβουλίου της Ευρωπαϊκής Ένωσης της 3ης Νοεμβρίου 1998» όπως ισχύει.</w:t>
      </w:r>
    </w:p>
    <w:p w:rsidR="00072E76" w:rsidRPr="00072E76" w:rsidRDefault="00072E76" w:rsidP="00072E76">
      <w:r w:rsidRPr="00072E76">
        <w:t>Την Κ.Υ.Α. οικ. 146896/17.10.2014 (ΦΕΚ 2878/27.10.2014 Τεύχος Β’) «Κατηγορίες αδειών χρήσης και εκτέλεσης έργων αξιοποίησης των υδάτων. Διαδικασία και όροι έκδοσης των αδειών, περιεχόμενο και διάρκεια ισχύος τους και άλλες συναφείς διατάξεις»</w:t>
      </w:r>
    </w:p>
    <w:p w:rsidR="00072E76" w:rsidRPr="00072E76" w:rsidRDefault="00072E76" w:rsidP="00072E76">
      <w:r w:rsidRPr="00072E76">
        <w:t xml:space="preserve">την υπ’ αρ. 13022 (ΦΕΚ 1377/Β’/24-4-2018) Κοινή Υπουργική Απόφαση ΚΥΑ </w:t>
      </w:r>
      <w:proofErr w:type="spellStart"/>
      <w:r w:rsidRPr="00072E76">
        <w:t>≪Ειδικό</w:t>
      </w:r>
      <w:proofErr w:type="spellEnd"/>
      <w:r w:rsidRPr="00072E76">
        <w:t xml:space="preserve"> Πρόγραμμα Χορήγησης Επενδυτικών Δανείων σε ΟΤΑ: σκοπός, κριτήρια ένταξης, διαδικασία υποβολής και αξιολόγησης αιτήσεων, έλεγχος πορείας υλοποίησης των έργων, όροι και δικαιολογητικά χορήγησης των δόσεων των δανείων, τρόπος απόδοσης του προϊόντος των δανείων, διαδικασία και δικαιολογητικά για την αποπληρωμή των δανείων από το ΠΔΕ και λοιπά ζητήματα διαχείρισης </w:t>
      </w:r>
      <w:proofErr w:type="spellStart"/>
      <w:r w:rsidRPr="00072E76">
        <w:t>προγράμματος≫</w:t>
      </w:r>
      <w:proofErr w:type="spellEnd"/>
    </w:p>
    <w:p w:rsidR="00072E76" w:rsidRPr="00072E76" w:rsidRDefault="00072E76" w:rsidP="00072E76">
      <w:r w:rsidRPr="00072E76">
        <w:t>Τις Κατευθυντήριες Οδηγίες της ΕΑ.Α.ΔΗ.ΣΥ,</w:t>
      </w:r>
    </w:p>
    <w:p w:rsidR="00072E76" w:rsidRPr="00072E76" w:rsidRDefault="00072E76" w:rsidP="00072E76">
      <w:proofErr w:type="spellStart"/>
      <w:r w:rsidRPr="00072E76">
        <w:t>To</w:t>
      </w:r>
      <w:proofErr w:type="spellEnd"/>
      <w:r w:rsidRPr="00072E76">
        <w:t xml:space="preserve"> με αρ. </w:t>
      </w:r>
      <w:proofErr w:type="spellStart"/>
      <w:r w:rsidRPr="00072E76">
        <w:t>πρωτ</w:t>
      </w:r>
      <w:proofErr w:type="spellEnd"/>
      <w:r w:rsidRPr="00072E76">
        <w:t>. 3697/6.7.2022 έγγραφο της ΕΑΔΗΣΥ «Ενημέρωση για την έκδοση 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072E76" w:rsidRPr="00072E76" w:rsidRDefault="00072E76" w:rsidP="00072E76">
      <w:r w:rsidRPr="00072E76">
        <w:t xml:space="preserve">Τις διατάξεις του αρ. 7 του ν. 4912/2022 «Ενιαία Αρχή Δημοσίων Συμβάσεων και άλλες διατάξεις του Υπουργείου Δικαιοσύνης» (ΦΕΚ 59/τ. Α΄/17.03.22), καθώς και την πράξη 29/27-9-2022 του </w:t>
      </w:r>
      <w:r w:rsidRPr="00072E76">
        <w:lastRenderedPageBreak/>
        <w:t>Υπουργικού Συμβουλίου με θέμα «Διορισμός Προέδρου και οκτώ (8) Συμβούλων της Ενιαίας Αρχής Δημοσίων Συμβάσεων (Ε.Α.ΔΗ.ΣΥ.)» (ΦΕΚ 908/Τ.ΥΟΔΔ/30-9-2022)</w:t>
      </w:r>
    </w:p>
    <w:bookmarkEnd w:id="16"/>
    <w:bookmarkEnd w:id="17"/>
    <w:p w:rsidR="00072E76" w:rsidRPr="00072E76" w:rsidRDefault="00072E76" w:rsidP="00072E76">
      <w:r w:rsidRPr="00072E76">
        <w:t xml:space="preserve">Την απόφαση ένταξης της παρούσας πράξης στο ΠΡΟΓΡΑΜΜΑ ΑΓΡΟΤΙΚΗΣ ΑΝΑΠΤΥΞΗΣ (ΠΑΑ) 2014-2020 του Υπουργείου Αγροτικής Ανάπτυξης &amp; Τροφίμων (Αρ. </w:t>
      </w:r>
      <w:proofErr w:type="spellStart"/>
      <w:r w:rsidRPr="00072E76">
        <w:t>Πρωτ</w:t>
      </w:r>
      <w:proofErr w:type="spellEnd"/>
      <w:r w:rsidRPr="00072E76">
        <w:t>. Απόφασης Ένταξης 1147/07-04-2023 ΑΔΑ: 65ΩΟ4653ΠΓ-ΦΛΤ)</w:t>
      </w:r>
    </w:p>
    <w:p w:rsidR="00072E76" w:rsidRPr="00072E76" w:rsidRDefault="00072E76" w:rsidP="00072E76">
      <w:r w:rsidRPr="00072E76">
        <w:t xml:space="preserve">Την ……/2023 Απόφαση της Ο.Ε. του Δήμου </w:t>
      </w:r>
      <w:proofErr w:type="spellStart"/>
      <w:r w:rsidRPr="00072E76">
        <w:t>Λεβαδέων</w:t>
      </w:r>
      <w:proofErr w:type="spellEnd"/>
      <w:r w:rsidRPr="00072E76">
        <w:t xml:space="preserve"> με θέμα: Καθορισμός όρων διακήρυξης του ηλεκτρονικού ανοιχτού διαγωνισμού άνω των ορίων , με τίτλο : «ΕΝΕΡΓΕΙΑΚΗ ΑΝΑΒΑΘΜΙΣΗ ΚΑΙ ΕΚΣΥΓΧΡΟΝΙΣΜΟΣ ΥΠΟΔΟΜΩΝ ΕΓΓΕΙΩΝ ΒΕΛΤΙΩΣΕΩΝ ΤΟΥ ΔΗΜΟΥ ΛΕΒΑΔΕΩΝ».</w:t>
      </w:r>
    </w:p>
    <w:p w:rsidR="00072E76" w:rsidRPr="00072E76" w:rsidRDefault="00072E76" w:rsidP="00072E76"/>
    <w:p w:rsidR="00072E76" w:rsidRPr="00072E76" w:rsidRDefault="00072E76" w:rsidP="00072E76">
      <w:bookmarkStart w:id="18" w:name="__RefHeading___Toc470009776"/>
      <w:r w:rsidRPr="00072E76">
        <w:t>1.5</w:t>
      </w:r>
      <w:r w:rsidRPr="00072E76">
        <w:tab/>
        <w:t>Προθεσμία παραλαβής προσφορών και διενέργεια διαγωνισμού</w:t>
      </w:r>
      <w:bookmarkEnd w:id="18"/>
    </w:p>
    <w:p w:rsidR="00072E76" w:rsidRPr="00072E76" w:rsidRDefault="00072E76" w:rsidP="00072E76">
      <w:r w:rsidRPr="00072E76">
        <w:t>Η καταληκτική ημερομηνία παραλαβής των προσφορών είναι η ..../....../2023 και ώρα ..........</w:t>
      </w:r>
    </w:p>
    <w:p w:rsidR="00072E76" w:rsidRPr="00072E76" w:rsidRDefault="00072E76" w:rsidP="00072E76">
      <w:r w:rsidRPr="00072E76">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072E76">
          <w:t>www.promitheus.gov.gr</w:t>
        </w:r>
      </w:hyperlink>
      <w:r w:rsidRPr="00072E76">
        <w:t xml:space="preserve">) </w:t>
      </w:r>
      <w:hyperlink r:id="rId12" w:history="1">
        <w:r w:rsidRPr="00072E76">
          <w:t>https://portal.eprocurement.gov.gr/webcenter/portal/TestPortal</w:t>
        </w:r>
      </w:hyperlink>
    </w:p>
    <w:p w:rsidR="00072E76" w:rsidRPr="00072E76" w:rsidRDefault="00072E76" w:rsidP="00072E76"/>
    <w:p w:rsidR="00072E76" w:rsidRPr="00072E76" w:rsidRDefault="00072E76" w:rsidP="00072E76">
      <w:bookmarkStart w:id="19" w:name="__RefHeading___Toc470009777"/>
      <w:bookmarkEnd w:id="19"/>
      <w:r w:rsidRPr="00072E76">
        <w:t>1.6</w:t>
      </w:r>
      <w:r w:rsidRPr="00072E76">
        <w:tab/>
        <w:t>Δημοσιότητα</w:t>
      </w:r>
    </w:p>
    <w:p w:rsidR="00072E76" w:rsidRPr="00072E76" w:rsidRDefault="00072E76" w:rsidP="00072E76">
      <w:r w:rsidRPr="00072E76">
        <w:t>Α.</w:t>
      </w:r>
      <w:r w:rsidRPr="00072E76">
        <w:tab/>
        <w:t xml:space="preserve">Δημοσίευση στην Επίσημη Εφημερίδα της Ευρωπαϊκής Ένωσης </w:t>
      </w:r>
    </w:p>
    <w:p w:rsidR="00072E76" w:rsidRPr="00072E76" w:rsidRDefault="00072E76" w:rsidP="00072E76">
      <w:r w:rsidRPr="00072E76">
        <w:t>Προκήρυξη της παρούσας σύμβασης απεστάλη με ηλεκτρονικά μέσα για δημοσίευση στις ……/………/……... στην Υπηρεσία Εκδόσεων της Ευρωπαϊκής Ένωσης.</w:t>
      </w:r>
    </w:p>
    <w:p w:rsidR="00072E76" w:rsidRPr="00072E76" w:rsidRDefault="00072E76" w:rsidP="00072E76">
      <w:r w:rsidRPr="00072E76">
        <w:t>Β.</w:t>
      </w:r>
      <w:r w:rsidRPr="00072E76">
        <w:tab/>
        <w:t xml:space="preserve">Δημοσίευση σε εθνικό επίπεδο </w:t>
      </w:r>
    </w:p>
    <w:p w:rsidR="00072E76" w:rsidRPr="00072E76" w:rsidRDefault="00072E76" w:rsidP="00072E76">
      <w:r w:rsidRPr="00072E76">
        <w:t xml:space="preserve">Η προκήρυξη και το πλήρες κείμενο της παρούσας Διακήρυξης καταχωρήθηκε στο Κεντρικό Ηλεκτρονικό Μητρώο Δημοσίων Συμβάσεων (ΚΗΜΔΗΣ). </w:t>
      </w:r>
    </w:p>
    <w:p w:rsidR="00072E76" w:rsidRPr="00072E76" w:rsidRDefault="00072E76" w:rsidP="00072E76">
      <w:r w:rsidRPr="00072E76">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072E76">
        <w:t>Συστημικό</w:t>
      </w:r>
      <w:proofErr w:type="spellEnd"/>
      <w:r w:rsidRPr="00072E76">
        <w:t xml:space="preserve"> Αύξοντα Αριθμό:  ………………… και αναρτήθηκαν στη Διαδικτυακή Πύλη (</w:t>
      </w:r>
      <w:hyperlink r:id="rId13" w:history="1">
        <w:r w:rsidRPr="00072E76">
          <w:t>www.promitheus.gov.gr</w:t>
        </w:r>
      </w:hyperlink>
      <w:r w:rsidRPr="00072E76">
        <w:t xml:space="preserve">), του ΟΠΣ ΕΣΗΔΗΣ. </w:t>
      </w:r>
    </w:p>
    <w:p w:rsidR="00072E76" w:rsidRPr="00072E76" w:rsidRDefault="00072E76" w:rsidP="00072E76">
      <w:r w:rsidRPr="00072E76">
        <w:t xml:space="preserve">Περίληψη της παρούσας Διακήρυξης δημοσιεύεται και στον Ελληνικό Τύπο, σύμφωνα με το άρθρο 66 του Ν. 4412/2016. </w:t>
      </w:r>
    </w:p>
    <w:p w:rsidR="00072E76" w:rsidRPr="00072E76" w:rsidRDefault="00072E76" w:rsidP="00072E76">
      <w:r w:rsidRPr="00072E76">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072E76">
        <w:t>ιστότοπο</w:t>
      </w:r>
      <w:hyperlink r:id="rId14" w:history="1">
        <w:r w:rsidRPr="00072E76">
          <w:t>http:</w:t>
        </w:r>
        <w:proofErr w:type="spellEnd"/>
        <w:r w:rsidRPr="00072E76">
          <w:t>//</w:t>
        </w:r>
        <w:proofErr w:type="spellStart"/>
        <w:r w:rsidRPr="00072E76">
          <w:t>et.diavgeia.gov.gr</w:t>
        </w:r>
        <w:proofErr w:type="spellEnd"/>
        <w:r w:rsidRPr="00072E76">
          <w:t>/</w:t>
        </w:r>
      </w:hyperlink>
      <w:r w:rsidRPr="00072E76">
        <w:t xml:space="preserve">  (ΠΡΟΓΡΑΜΜΑ ΔΙΑΥΓΕΙΑ). </w:t>
      </w:r>
    </w:p>
    <w:p w:rsidR="00072E76" w:rsidRPr="00072E76" w:rsidRDefault="00072E76" w:rsidP="00072E76">
      <w:r w:rsidRPr="00072E76">
        <w:t xml:space="preserve">Η Διακήρυξη θα καταχωρηθεί στην ιστοσελίδα της Αναθέτουσας Αρχής στη διεύθυνση(URL) </w:t>
      </w:r>
      <w:hyperlink r:id="rId15" w:history="1">
        <w:r w:rsidRPr="00072E76">
          <w:t>https://dimoslevadeon.gr/</w:t>
        </w:r>
      </w:hyperlink>
      <w:r w:rsidRPr="00072E76">
        <w:t xml:space="preserve"> στην διαδρομή : ΚΕΝΤΡΙΚΗ ΣΕΛΙΔΑ &gt;  ΓΡΑΦΕΙΟ ΤΥΠΟΥ &gt; ΠΡΟΚΗΡΥΞΕΙΣ και ΔΙΑΓΩΝΙΣΜΟΙ, στις  …./…./2023.</w:t>
      </w:r>
    </w:p>
    <w:p w:rsidR="00072E76" w:rsidRPr="00072E76" w:rsidRDefault="00072E76" w:rsidP="00072E76">
      <w:pPr>
        <w:rPr>
          <w:rFonts w:eastAsia="ArialMT"/>
        </w:rPr>
      </w:pPr>
      <w:r w:rsidRPr="00072E76">
        <w:t>Γ.</w:t>
      </w:r>
      <w:r w:rsidRPr="00072E76">
        <w:tab/>
        <w:t>Έξοδα δημοσιεύσεων</w:t>
      </w:r>
    </w:p>
    <w:p w:rsidR="00072E76" w:rsidRPr="00072E76" w:rsidRDefault="00072E76" w:rsidP="00072E76">
      <w:pPr>
        <w:rPr>
          <w:rFonts w:eastAsia="ArialMT"/>
        </w:rPr>
      </w:pPr>
      <w:r w:rsidRPr="00072E76">
        <w:rPr>
          <w:rFonts w:eastAsia="ArialMT"/>
        </w:rPr>
        <w:t>Οι δαπάνες δημοσίευσης, καταβάλλονται από τον φορέα που έδωσε στην εντολή καταχώρησης στην εφημερίδα, εντός των προθεσμιών του άρθρου 69Ζ του ν. 4270/2014 (Α΄143).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rsidR="00072E76" w:rsidRPr="00072E76" w:rsidRDefault="00072E76" w:rsidP="00072E76"/>
    <w:p w:rsidR="00072E76" w:rsidRPr="00072E76" w:rsidRDefault="00072E76" w:rsidP="00072E76">
      <w:bookmarkStart w:id="20" w:name="__RefHeading___Toc470009778"/>
      <w:r w:rsidRPr="00072E76">
        <w:t>1.7</w:t>
      </w:r>
      <w:r w:rsidRPr="00072E76">
        <w:tab/>
        <w:t>Αρχές εφαρμοζόμενες στη διαδικασία σύναψης</w:t>
      </w:r>
      <w:bookmarkEnd w:id="20"/>
    </w:p>
    <w:p w:rsidR="00072E76" w:rsidRPr="00072E76" w:rsidRDefault="00072E76" w:rsidP="00072E76">
      <w:bookmarkStart w:id="21" w:name="__RefHeading___Toc470009779"/>
      <w:bookmarkEnd w:id="21"/>
      <w:r w:rsidRPr="00072E76">
        <w:t>Οι οικονομικοί φορείς δεσμεύονται ότι:</w:t>
      </w:r>
    </w:p>
    <w:p w:rsidR="00072E76" w:rsidRPr="00072E76" w:rsidRDefault="00072E76" w:rsidP="00072E76">
      <w:r w:rsidRPr="00072E76">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w:t>
      </w:r>
      <w:r w:rsidRPr="00072E76">
        <w:lastRenderedPageBreak/>
        <w:t xml:space="preserve">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072E76" w:rsidRPr="00072E76" w:rsidRDefault="00072E76" w:rsidP="00072E76">
      <w:r w:rsidRPr="00072E76">
        <w:t xml:space="preserve">β) δεν θα ενεργήσουν αθέμιτα, παράνομα ή καταχρηστικά </w:t>
      </w:r>
      <w:proofErr w:type="spellStart"/>
      <w:r w:rsidRPr="00072E76">
        <w:t>καθ΄</w:t>
      </w:r>
      <w:proofErr w:type="spellEnd"/>
      <w:r w:rsidRPr="00072E76">
        <w:t xml:space="preserve"> όλη τη διάρκεια της διαδικασίας ανάθεσης, αλλά και κατά το στάδιο εκτέλεσης της σύμβασης, εφόσον επιλεγούν</w:t>
      </w:r>
    </w:p>
    <w:p w:rsidR="00072E76" w:rsidRPr="00072E76" w:rsidRDefault="00072E76" w:rsidP="00072E76">
      <w:r w:rsidRPr="00072E76">
        <w:t>γ) λαμβάνουν τα κατάλληλα μέτρα για να διαφυλάξουν την εμπιστευτικότητα των πληροφοριών που έχουν χαρακτηρισθεί ως τέτοιες.</w:t>
      </w:r>
    </w:p>
    <w:p w:rsidR="00072E76" w:rsidRPr="00072E76" w:rsidRDefault="00072E76" w:rsidP="00072E76">
      <w:r w:rsidRPr="00072E76">
        <w:t>2.</w:t>
      </w:r>
      <w:r w:rsidRPr="00072E76">
        <w:tab/>
        <w:t>ΓΕΝΙΚΟΙ ΚΑΙ ΕΙΔΙΚΟΙ ΟΡΟΙ ΣΥΜΜΕΤΟΧΗΣ</w:t>
      </w:r>
    </w:p>
    <w:p w:rsidR="00072E76" w:rsidRPr="00072E76" w:rsidRDefault="00072E76" w:rsidP="00072E76">
      <w:bookmarkStart w:id="22" w:name="__RefHeading___Toc470009780"/>
      <w:bookmarkEnd w:id="22"/>
      <w:r w:rsidRPr="00072E76">
        <w:t>2.1</w:t>
      </w:r>
      <w:r w:rsidRPr="00072E76">
        <w:tab/>
        <w:t>Γενικές Πληροφορίες</w:t>
      </w:r>
    </w:p>
    <w:p w:rsidR="00072E76" w:rsidRPr="00072E76" w:rsidRDefault="00072E76" w:rsidP="00072E76">
      <w:bookmarkStart w:id="23" w:name="__RefHeading___Toc470009781"/>
      <w:bookmarkEnd w:id="23"/>
      <w:r w:rsidRPr="00072E76">
        <w:t>2.1.1</w:t>
      </w:r>
      <w:r w:rsidRPr="00072E76">
        <w:tab/>
        <w:t>Έγγραφα της σύμβασης</w:t>
      </w:r>
    </w:p>
    <w:p w:rsidR="00072E76" w:rsidRPr="00072E76" w:rsidRDefault="00072E76" w:rsidP="00072E76">
      <w:r w:rsidRPr="00072E76">
        <w:t>Τα έγγραφα της παρούσας διαδικασίας σύναψης είναι τα ακόλουθα:</w:t>
      </w:r>
    </w:p>
    <w:p w:rsidR="00072E76" w:rsidRPr="00072E76" w:rsidRDefault="00072E76" w:rsidP="00072E76">
      <w:r w:rsidRPr="00072E76">
        <w:t>η με αρ. ………. Προκήρυξη της Σύμβασης (ΑΔΑΜ........), όπως αυτή έχει δημοσιευτεί στην Επίσημη Εφημερίδα της Ευρωπαϊκής Ένωσης.</w:t>
      </w:r>
    </w:p>
    <w:p w:rsidR="00072E76" w:rsidRPr="00072E76" w:rsidRDefault="00072E76" w:rsidP="00072E76">
      <w:r w:rsidRPr="00072E76">
        <w:t>Το Ευρωπαϊκό έγγραφο Σύμβασης [ΕΕΕΣ]</w:t>
      </w:r>
    </w:p>
    <w:p w:rsidR="00072E76" w:rsidRPr="00072E76" w:rsidRDefault="00072E76" w:rsidP="00072E76">
      <w:pPr>
        <w:rPr>
          <w:rFonts w:eastAsia="Calibri"/>
        </w:rPr>
      </w:pPr>
      <w:r w:rsidRPr="00072E76">
        <w:t>η παρούσα Διακήρυξη (ΑΔΑΜ ....) και τα παραρτήματα της καθώς και τα λοιπά τεύχη της προμήθειας που αποτελούν αναπόσπαστο μέρος αυτής</w:t>
      </w:r>
    </w:p>
    <w:p w:rsidR="00072E76" w:rsidRPr="00072E76" w:rsidRDefault="00072E76" w:rsidP="00072E76">
      <w:r w:rsidRPr="00072E76">
        <w:rPr>
          <w:rFonts w:eastAsia="Calibri"/>
        </w:rPr>
        <w:t xml:space="preserve">ΠΑΡΑΡΤΗΜΑ Ι: </w:t>
      </w:r>
      <w:r w:rsidRPr="00072E76">
        <w:t>Αναλυτική Περιγραφή Φυσικού και Οικονομικού Αντικειμένου της Σύμβασης</w:t>
      </w:r>
    </w:p>
    <w:p w:rsidR="00072E76" w:rsidRPr="00072E76" w:rsidRDefault="00072E76" w:rsidP="00072E76">
      <w:pPr>
        <w:rPr>
          <w:rFonts w:eastAsia="Calibri"/>
        </w:rPr>
      </w:pPr>
      <w:r w:rsidRPr="00072E76">
        <w:rPr>
          <w:rFonts w:eastAsia="Calibri"/>
        </w:rPr>
        <w:t>ΠΑΡΑΡΤΗΜΑ ΙΙ:  Ειδική Συγγραφή υποχρεώσεων</w:t>
      </w:r>
    </w:p>
    <w:p w:rsidR="00072E76" w:rsidRPr="00072E76" w:rsidRDefault="00072E76" w:rsidP="00072E76">
      <w:r w:rsidRPr="00072E76">
        <w:rPr>
          <w:rFonts w:eastAsia="Calibri"/>
        </w:rPr>
        <w:t xml:space="preserve">ΠΑΡΑΡΤΗΜΑ ΙΙΙ: </w:t>
      </w:r>
      <w:r w:rsidRPr="00072E76">
        <w:t>Ευρωπαϊκό Ενιαίο Έγγραφο Σύμβασης (ΕΕΕΣ)</w:t>
      </w:r>
    </w:p>
    <w:p w:rsidR="00072E76" w:rsidRPr="00072E76" w:rsidRDefault="00072E76" w:rsidP="00072E76">
      <w:pPr>
        <w:rPr>
          <w:rFonts w:eastAsia="Calibri"/>
        </w:rPr>
      </w:pPr>
      <w:r w:rsidRPr="00072E76">
        <w:rPr>
          <w:rFonts w:eastAsia="Calibri"/>
        </w:rPr>
        <w:t>ΠΑΡΑΡΤΗΜΑ ΙV: Προσωπικά Δεδομένα</w:t>
      </w:r>
    </w:p>
    <w:p w:rsidR="00072E76" w:rsidRPr="00072E76" w:rsidRDefault="00072E76" w:rsidP="00072E76">
      <w:pPr>
        <w:rPr>
          <w:rFonts w:eastAsia="Calibri"/>
        </w:rPr>
      </w:pPr>
      <w:r w:rsidRPr="00072E76">
        <w:rPr>
          <w:rFonts w:eastAsia="Calibri"/>
        </w:rPr>
        <w:t>ΠΑΡΑΡΤΗΜΑ V: Περίληψη της Διακήρυξης</w:t>
      </w:r>
    </w:p>
    <w:p w:rsidR="00072E76" w:rsidRPr="00072E76" w:rsidRDefault="00072E76" w:rsidP="00072E76">
      <w:pPr>
        <w:rPr>
          <w:rFonts w:eastAsia="Calibri"/>
        </w:rPr>
      </w:pPr>
      <w:r w:rsidRPr="00072E76">
        <w:rPr>
          <w:rFonts w:eastAsia="Calibri"/>
        </w:rPr>
        <w:t>ΠΑΡΑΡΤΗΜΑ VI:  Γενική Συγγραφή υποχρεώσεων</w:t>
      </w:r>
    </w:p>
    <w:p w:rsidR="00072E76" w:rsidRPr="00072E76" w:rsidRDefault="00072E76" w:rsidP="00072E76">
      <w:pPr>
        <w:rPr>
          <w:rFonts w:eastAsia="Calibri"/>
        </w:rPr>
      </w:pPr>
      <w:r w:rsidRPr="00072E76">
        <w:rPr>
          <w:rFonts w:eastAsia="Calibri"/>
        </w:rPr>
        <w:t>ΠΑΡΑΡΤΗΜΑ VII:  Τεχνική περιγραφή</w:t>
      </w:r>
    </w:p>
    <w:p w:rsidR="00072E76" w:rsidRPr="00072E76" w:rsidRDefault="00072E76" w:rsidP="00072E76">
      <w:pPr>
        <w:rPr>
          <w:rFonts w:eastAsia="Calibri"/>
        </w:rPr>
      </w:pPr>
      <w:r w:rsidRPr="00072E76">
        <w:rPr>
          <w:rFonts w:eastAsia="Calibri"/>
        </w:rPr>
        <w:t xml:space="preserve">ΠΑΡΑΡΤΗΜΑ VIII:  Τεχνικές προδιαγραφές </w:t>
      </w:r>
    </w:p>
    <w:p w:rsidR="00072E76" w:rsidRPr="00072E76" w:rsidRDefault="00072E76" w:rsidP="00072E76">
      <w:pPr>
        <w:rPr>
          <w:rFonts w:eastAsia="Calibri"/>
        </w:rPr>
      </w:pPr>
      <w:r w:rsidRPr="00072E76">
        <w:rPr>
          <w:rFonts w:eastAsia="Calibri"/>
        </w:rPr>
        <w:t xml:space="preserve">ΠΑΡΑΡΤΗΜΑ IX:  Τιμολόγιο της μελέτης </w:t>
      </w:r>
    </w:p>
    <w:p w:rsidR="00072E76" w:rsidRPr="00072E76" w:rsidRDefault="00072E76" w:rsidP="00072E76">
      <w:pPr>
        <w:rPr>
          <w:rFonts w:eastAsia="Calibri"/>
        </w:rPr>
      </w:pPr>
      <w:r w:rsidRPr="00072E76">
        <w:rPr>
          <w:rFonts w:eastAsia="Calibri"/>
        </w:rPr>
        <w:t xml:space="preserve">ΠΑΡΑΡΤΗΜΑ X: Προϋπολογισμός μελέτης </w:t>
      </w:r>
    </w:p>
    <w:p w:rsidR="00072E76" w:rsidRPr="00072E76" w:rsidRDefault="00072E76" w:rsidP="00072E76">
      <w:pPr>
        <w:rPr>
          <w:rFonts w:eastAsia="Calibri"/>
        </w:rPr>
      </w:pPr>
      <w:r w:rsidRPr="00072E76">
        <w:rPr>
          <w:rFonts w:eastAsia="Calibri"/>
        </w:rPr>
        <w:t xml:space="preserve">ΠΑΡΑΡΤΗΜΑ XI: Τιμολόγιο Προσφοράς </w:t>
      </w:r>
    </w:p>
    <w:p w:rsidR="00072E76" w:rsidRPr="00072E76" w:rsidRDefault="00072E76" w:rsidP="00072E76">
      <w:pPr>
        <w:rPr>
          <w:rFonts w:eastAsia="Calibri"/>
        </w:rPr>
      </w:pPr>
      <w:r w:rsidRPr="00072E76">
        <w:rPr>
          <w:rFonts w:eastAsia="Calibri"/>
        </w:rPr>
        <w:t xml:space="preserve">ΠΑΡΑΡΤΗΜΑ XΙI: Προϋπολογισμός Προσφοράς </w:t>
      </w:r>
    </w:p>
    <w:p w:rsidR="00072E76" w:rsidRPr="00072E76" w:rsidRDefault="00072E76" w:rsidP="00072E76">
      <w:pPr>
        <w:rPr>
          <w:rFonts w:eastAsia="Calibri"/>
        </w:rPr>
      </w:pPr>
      <w:r w:rsidRPr="00072E76">
        <w:rPr>
          <w:rFonts w:eastAsia="Calibri"/>
        </w:rPr>
        <w:t>ΠΑΡΑΡΤΗΜΑ XIΙI: Υπόδειγμα περιεχομένου Υ.Δ. περί μη ρωσικής εμπλοκής.</w:t>
      </w:r>
    </w:p>
    <w:p w:rsidR="00072E76" w:rsidRPr="00072E76" w:rsidRDefault="00072E76" w:rsidP="00072E76">
      <w:r w:rsidRPr="00072E76">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072E76" w:rsidRPr="00072E76" w:rsidRDefault="00072E76" w:rsidP="00072E76">
      <w:r w:rsidRPr="00072E76">
        <w:t>Το σχέδιο σύμβασης με τα τυχόν Παραρτήματα της.</w:t>
      </w:r>
    </w:p>
    <w:p w:rsidR="00072E76" w:rsidRPr="00072E76" w:rsidRDefault="00072E76" w:rsidP="00072E76">
      <w:bookmarkStart w:id="24" w:name="__RefHeading___Toc470009782"/>
      <w:bookmarkEnd w:id="24"/>
      <w:r w:rsidRPr="00072E76">
        <w:t>2.1.2</w:t>
      </w:r>
      <w:r w:rsidRPr="00072E76">
        <w:tab/>
        <w:t>Επικοινωνία - Πρόσβαση στα έγγραφα της Σύμβασης</w:t>
      </w:r>
    </w:p>
    <w:p w:rsidR="00072E76" w:rsidRPr="00072E76" w:rsidRDefault="00072E76" w:rsidP="00072E76">
      <w:bookmarkStart w:id="25" w:name="__RefHeading___Toc470009783"/>
      <w:bookmarkEnd w:id="25"/>
      <w:r w:rsidRPr="00072E76">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16" w:history="1">
        <w:r w:rsidRPr="00072E76">
          <w:t>www.promitheus.gov.gr</w:t>
        </w:r>
      </w:hyperlink>
      <w:r w:rsidRPr="00072E76">
        <w:t xml:space="preserve"> του ως άνω συστήματος.</w:t>
      </w:r>
    </w:p>
    <w:p w:rsidR="00072E76" w:rsidRPr="00072E76" w:rsidRDefault="00072E76" w:rsidP="00072E76">
      <w:r w:rsidRPr="00072E76">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rsidR="00072E76" w:rsidRPr="00072E76" w:rsidRDefault="00072E76" w:rsidP="00072E76">
      <w:r w:rsidRPr="00072E76">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rsidR="00072E76" w:rsidRPr="00072E76" w:rsidRDefault="00072E76" w:rsidP="00072E76">
      <w:r w:rsidRPr="00072E76">
        <w:t>2.1.3</w:t>
      </w:r>
      <w:r w:rsidRPr="00072E76">
        <w:tab/>
        <w:t>Παροχή Διευκρινίσεων</w:t>
      </w:r>
    </w:p>
    <w:p w:rsidR="00072E76" w:rsidRPr="00072E76" w:rsidRDefault="00072E76" w:rsidP="00072E76">
      <w:r w:rsidRPr="00072E76">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7" w:history="1">
        <w:r w:rsidRPr="00072E76">
          <w:t>www.promitheus.gov.gr</w:t>
        </w:r>
      </w:hyperlink>
      <w:r w:rsidRPr="00072E76">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w:t>
      </w:r>
      <w:r w:rsidRPr="00072E76">
        <w:lastRenderedPageBreak/>
        <w:t>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rsidR="00072E76" w:rsidRPr="00072E76" w:rsidRDefault="00072E76" w:rsidP="00072E76">
      <w:r w:rsidRPr="00072E76">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72E76" w:rsidRPr="00072E76" w:rsidRDefault="00072E76" w:rsidP="00072E76">
      <w:r w:rsidRPr="00072E76">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072E76" w:rsidRPr="00072E76" w:rsidRDefault="00072E76" w:rsidP="00072E76">
      <w:r w:rsidRPr="00072E76">
        <w:t>β) όταν τα έγγραφα της σύμβασης υφίστανται σημαντικές αλλαγές.</w:t>
      </w:r>
    </w:p>
    <w:p w:rsidR="00072E76" w:rsidRPr="00072E76" w:rsidRDefault="00072E76" w:rsidP="00072E76">
      <w:r w:rsidRPr="00072E76">
        <w:t>Η διάρκεια της παράτασης θα είναι ανάλογη με τη σπουδαιότητα των πληροφοριών ή των αλλαγών.</w:t>
      </w:r>
    </w:p>
    <w:p w:rsidR="00072E76" w:rsidRPr="00072E76" w:rsidRDefault="00072E76" w:rsidP="00072E76">
      <w:r w:rsidRPr="00072E76">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072E76" w:rsidRPr="00072E76" w:rsidRDefault="00072E76" w:rsidP="00072E76">
      <w:r w:rsidRPr="00072E76">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 και στο ΚΗΜΔΗΣ  .</w:t>
      </w:r>
    </w:p>
    <w:p w:rsidR="00072E76" w:rsidRPr="00072E76" w:rsidRDefault="00072E76" w:rsidP="00072E76">
      <w:bookmarkStart w:id="26" w:name="__RefHeading___Toc470009784"/>
      <w:bookmarkEnd w:id="26"/>
      <w:r w:rsidRPr="00072E76">
        <w:t>2.1.4</w:t>
      </w:r>
      <w:r w:rsidRPr="00072E76">
        <w:tab/>
        <w:t>Γλώσσα</w:t>
      </w:r>
    </w:p>
    <w:p w:rsidR="00072E76" w:rsidRPr="00072E76" w:rsidRDefault="00072E76" w:rsidP="00072E76">
      <w:r w:rsidRPr="00072E76">
        <w:t>Τα έγγραφα της σύμβασης έχουν συνταχθεί στην ελληνική γλώσσα.</w:t>
      </w:r>
    </w:p>
    <w:p w:rsidR="00072E76" w:rsidRPr="00072E76" w:rsidRDefault="00072E76" w:rsidP="00072E76">
      <w:r w:rsidRPr="00072E76">
        <w:t>Τυχόν προδικαστικές προσφυγές υποβάλλονται στην ελληνική γλώσσα.</w:t>
      </w:r>
    </w:p>
    <w:p w:rsidR="00072E76" w:rsidRPr="00072E76" w:rsidRDefault="00072E76" w:rsidP="00072E76">
      <w:r w:rsidRPr="00072E76">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072E76" w:rsidRPr="00072E76" w:rsidRDefault="00072E76" w:rsidP="00072E76">
      <w:r w:rsidRPr="00072E76">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072E76" w:rsidRPr="00072E76" w:rsidRDefault="00072E76" w:rsidP="00072E76">
      <w:r w:rsidRPr="00072E76">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μπορούν να υποβάλλονται σε άλλη γλώσσα, χωρίς να συνοδεύονται από μετάφραση στην ελληνική.</w:t>
      </w:r>
    </w:p>
    <w:p w:rsidR="00072E76" w:rsidRPr="00072E76" w:rsidRDefault="00072E76" w:rsidP="00072E76">
      <w:r w:rsidRPr="00072E76">
        <w:t>Κάθε μορφής επικοινωνία με την αναθέτουσα αρχή, καθώς και μεταξύ αυτής και του αναδόχου, θα γίνονται υποχρεωτικά στην ελληνική γλώσσα.</w:t>
      </w:r>
    </w:p>
    <w:p w:rsidR="00072E76" w:rsidRPr="00072E76" w:rsidRDefault="00072E76" w:rsidP="00072E76">
      <w:bookmarkStart w:id="27" w:name="__RefHeading___Toc470009785"/>
      <w:bookmarkEnd w:id="27"/>
      <w:r w:rsidRPr="00072E76">
        <w:t>2.1.5</w:t>
      </w:r>
      <w:r w:rsidRPr="00072E76">
        <w:tab/>
        <w:t>Εγγυήσεις</w:t>
      </w:r>
    </w:p>
    <w:p w:rsidR="00072E76" w:rsidRPr="00072E76" w:rsidRDefault="00072E76" w:rsidP="00072E76">
      <w:r w:rsidRPr="00072E76">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072E76">
        <w:t>β΄</w:t>
      </w:r>
      <w:proofErr w:type="spellEnd"/>
      <w:r w:rsidRPr="00072E76">
        <w:t xml:space="preserve"> και </w:t>
      </w:r>
      <w:proofErr w:type="spellStart"/>
      <w:r w:rsidRPr="00072E76">
        <w:t>γ΄</w:t>
      </w:r>
      <w:proofErr w:type="spellEnd"/>
      <w:r w:rsidRPr="00072E76">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72E76" w:rsidRPr="00072E76" w:rsidRDefault="00072E76" w:rsidP="00072E76">
      <w:r w:rsidRPr="00072E76">
        <w:t>Οι εγγυητικές επιστολές εκδίδονται κατ’ επιλογή των οικονομικών φορέων από έναν ή περισσότερους εκδότες της παραπάνω παραγράφου.</w:t>
      </w:r>
    </w:p>
    <w:p w:rsidR="00072E76" w:rsidRPr="00072E76" w:rsidRDefault="00072E76" w:rsidP="00072E76">
      <w:r w:rsidRPr="00072E76">
        <w:lastRenderedPageBreak/>
        <w:t xml:space="preserve">Οι εγγυήσεις αυτές περιλαμβάνουν κατ’ ελάχιστον τα ακόλουθα στοιχεία: </w:t>
      </w:r>
    </w:p>
    <w:p w:rsidR="00072E76" w:rsidRPr="00072E76" w:rsidRDefault="00072E76" w:rsidP="00072E76">
      <w:r w:rsidRPr="00072E76">
        <w:t xml:space="preserve">α) την ημερομηνία έκδοσης, </w:t>
      </w:r>
    </w:p>
    <w:p w:rsidR="00072E76" w:rsidRPr="00072E76" w:rsidRDefault="00072E76" w:rsidP="00072E76">
      <w:r w:rsidRPr="00072E76">
        <w:t xml:space="preserve">β) τον εκδότη, </w:t>
      </w:r>
    </w:p>
    <w:p w:rsidR="00072E76" w:rsidRPr="00072E76" w:rsidRDefault="00072E76" w:rsidP="00072E76">
      <w:r w:rsidRPr="00072E76">
        <w:t xml:space="preserve">γ) την αναθέτουσα αρχή προς την οποία απευθύνονται, </w:t>
      </w:r>
    </w:p>
    <w:p w:rsidR="00072E76" w:rsidRPr="00072E76" w:rsidRDefault="00072E76" w:rsidP="00072E76">
      <w:r w:rsidRPr="00072E76">
        <w:t xml:space="preserve">δ) τον αριθμό της εγγύησης, </w:t>
      </w:r>
    </w:p>
    <w:p w:rsidR="00072E76" w:rsidRPr="00072E76" w:rsidRDefault="00072E76" w:rsidP="00072E76">
      <w:r w:rsidRPr="00072E76">
        <w:t xml:space="preserve">ε) το ποσό που καλύπτει η εγγύηση, </w:t>
      </w:r>
    </w:p>
    <w:p w:rsidR="00072E76" w:rsidRPr="00072E76" w:rsidRDefault="00072E76" w:rsidP="00072E76">
      <w:r w:rsidRPr="00072E76">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072E76" w:rsidRPr="00072E76" w:rsidRDefault="00072E76" w:rsidP="00072E76">
      <w:r w:rsidRPr="00072E76">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72E76">
        <w:t>διζήσεως</w:t>
      </w:r>
      <w:proofErr w:type="spellEnd"/>
      <w:r w:rsidRPr="00072E76">
        <w:t xml:space="preserve">, και </w:t>
      </w:r>
      <w:proofErr w:type="spellStart"/>
      <w:r w:rsidRPr="00072E76">
        <w:t>ββ</w:t>
      </w:r>
      <w:proofErr w:type="spellEnd"/>
      <w:r w:rsidRPr="00072E76">
        <w:t xml:space="preserve">) ότι σε περίπτωση κατάπτωσης αυτής, το ποσό της κατάπτωσης υπόκειται στο εκάστοτε ισχύον τέλος χαρτοσήμου, </w:t>
      </w:r>
    </w:p>
    <w:p w:rsidR="00072E76" w:rsidRPr="00072E76" w:rsidRDefault="00072E76" w:rsidP="00072E76">
      <w:r w:rsidRPr="00072E76">
        <w:t xml:space="preserve">η) τα στοιχεία της σχετικής διακήρυξης και την καταληκτική ημερομηνία υποβολής προσφορών, </w:t>
      </w:r>
    </w:p>
    <w:p w:rsidR="00072E76" w:rsidRPr="00072E76" w:rsidRDefault="00072E76" w:rsidP="00072E76">
      <w:r w:rsidRPr="00072E76">
        <w:t xml:space="preserve">θ) την ημερομηνία λήξης ή τον χρόνο ισχύος της εγγύησης, </w:t>
      </w:r>
    </w:p>
    <w:p w:rsidR="00072E76" w:rsidRPr="00072E76" w:rsidRDefault="00072E76" w:rsidP="00072E76">
      <w:r w:rsidRPr="00072E76">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072E76" w:rsidRPr="00072E76" w:rsidRDefault="00072E76" w:rsidP="00072E76">
      <w:r w:rsidRPr="00072E76">
        <w:t xml:space="preserve">ια) στην περίπτωση των εγγυήσεων καλής εκτέλεσης και προκαταβολής, τον αριθμό και τον τίτλο της σχετικής σύμβασης. </w:t>
      </w:r>
    </w:p>
    <w:p w:rsidR="00072E76" w:rsidRPr="00072E76" w:rsidRDefault="00072E76" w:rsidP="00072E76">
      <w:r w:rsidRPr="00072E76">
        <w:t xml:space="preserve">Η </w:t>
      </w:r>
      <w:proofErr w:type="spellStart"/>
      <w:r w:rsidRPr="00072E76">
        <w:t>περ</w:t>
      </w:r>
      <w:proofErr w:type="spellEnd"/>
      <w:r w:rsidRPr="00072E76">
        <w:t xml:space="preserve">. αα’ του προηγούμενου εδαφίου </w:t>
      </w:r>
      <w:proofErr w:type="spellStart"/>
      <w:r w:rsidRPr="00072E76">
        <w:t>ζ΄</w:t>
      </w:r>
      <w:proofErr w:type="spellEnd"/>
      <w:r w:rsidRPr="00072E76">
        <w:t xml:space="preserve"> δεν εφαρμόζεται για τις εγγυήσεις που παρέχονται με γραμμάτιο του Ταμείου Παρακαταθηκών και Δανείων.</w:t>
      </w:r>
    </w:p>
    <w:p w:rsidR="00072E76" w:rsidRPr="00072E76" w:rsidRDefault="00072E76" w:rsidP="00072E76">
      <w:r w:rsidRPr="00072E76">
        <w:t>Η αναθέτουσα αρχή επικοινωνεί με τους εκδότες των εγγυητικών επιστολών προκειμένου να διαπιστώσει την εγκυρότητά τους.</w:t>
      </w:r>
    </w:p>
    <w:p w:rsidR="00072E76" w:rsidRPr="00072E76" w:rsidRDefault="00072E76" w:rsidP="00072E76">
      <w:r w:rsidRPr="00072E76">
        <w:t>2.1.6</w:t>
      </w:r>
      <w:r w:rsidRPr="00072E76">
        <w:tab/>
        <w:t>Προστασία Προσωπικών Δεδομένων</w:t>
      </w:r>
    </w:p>
    <w:p w:rsidR="00072E76" w:rsidRPr="00072E76" w:rsidRDefault="00072E76" w:rsidP="00072E76">
      <w:r w:rsidRPr="00072E76">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072E76" w:rsidRPr="00072E76" w:rsidRDefault="00072E76" w:rsidP="00072E76"/>
    <w:p w:rsidR="00072E76" w:rsidRPr="00072E76" w:rsidRDefault="00072E76" w:rsidP="00072E76">
      <w:bookmarkStart w:id="28" w:name="__RefHeading___Toc470009786"/>
      <w:bookmarkEnd w:id="28"/>
      <w:r w:rsidRPr="00072E76">
        <w:t>2.2</w:t>
      </w:r>
      <w:r w:rsidRPr="00072E76">
        <w:tab/>
        <w:t>Δικαίωμα Συμμετοχής - Κριτήρια Ποιοτικής Επιλογής</w:t>
      </w:r>
    </w:p>
    <w:p w:rsidR="00072E76" w:rsidRPr="00072E76" w:rsidRDefault="00072E76" w:rsidP="00072E76">
      <w:bookmarkStart w:id="29" w:name="__RefHeading___Toc470009787"/>
      <w:r w:rsidRPr="00072E76">
        <w:t>2.2.1</w:t>
      </w:r>
      <w:r w:rsidRPr="00072E76">
        <w:tab/>
        <w:t>Δικαίωμα συμμετοχής</w:t>
      </w:r>
      <w:bookmarkEnd w:id="29"/>
    </w:p>
    <w:p w:rsidR="00072E76" w:rsidRPr="00072E76" w:rsidRDefault="00072E76" w:rsidP="00072E76">
      <w:r w:rsidRPr="00072E76">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72E76" w:rsidRPr="00072E76" w:rsidRDefault="00072E76" w:rsidP="00072E76">
      <w:r w:rsidRPr="00072E76">
        <w:t>α) κράτος-μέλος της Ένωσης,</w:t>
      </w:r>
    </w:p>
    <w:p w:rsidR="00072E76" w:rsidRPr="00072E76" w:rsidRDefault="00072E76" w:rsidP="00072E76">
      <w:r w:rsidRPr="00072E76">
        <w:t>β) κράτος-μέλος του Ευρωπαϊκού Οικονομικού Χώρου (Ε.Ο.Χ.),</w:t>
      </w:r>
    </w:p>
    <w:p w:rsidR="00072E76" w:rsidRPr="00072E76" w:rsidRDefault="00072E76" w:rsidP="00072E76">
      <w:r w:rsidRPr="00072E76">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072E76" w:rsidRPr="00072E76" w:rsidRDefault="00072E76" w:rsidP="00072E76">
      <w:r w:rsidRPr="00072E76">
        <w:t xml:space="preserve">δ) σε τρίτες χώρες που δεν εμπίπτουν στην περίπτωση </w:t>
      </w:r>
      <w:proofErr w:type="spellStart"/>
      <w:r w:rsidRPr="00072E76">
        <w:t>γ΄</w:t>
      </w:r>
      <w:proofErr w:type="spellEnd"/>
      <w:r w:rsidRPr="00072E76">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072E76" w:rsidRPr="00072E76" w:rsidRDefault="00072E76" w:rsidP="00072E76">
      <w:r w:rsidRPr="00072E76">
        <w:t xml:space="preserve">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w:t>
      </w:r>
      <w:r w:rsidRPr="00072E76">
        <w:lastRenderedPageBreak/>
        <w:t>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072E76" w:rsidRPr="00072E76" w:rsidRDefault="00072E76" w:rsidP="00072E76">
      <w:r w:rsidRPr="00072E76">
        <w:t xml:space="preserve">2. Απαγορεύεται η συμμετοχή στην παρούσα διαδικασία οικονομικών φορέων, με 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(L 111/1) και συγκεκριμένα αν ο οικονομικός φορέας είναι :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στις ικανότητες των οποίων στηρίζεται κατά την έννοια των οδηγιών για τις δημόσιες συμβάσεις. </w:t>
      </w:r>
    </w:p>
    <w:p w:rsidR="00072E76" w:rsidRPr="00072E76" w:rsidRDefault="00072E76" w:rsidP="00072E76">
      <w:pPr>
        <w:rPr>
          <w:rFonts w:eastAsia="Calibri"/>
        </w:rPr>
      </w:pPr>
      <w:r w:rsidRPr="00072E76">
        <w:t>3.Οικονομικός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072E76" w:rsidRPr="00072E76" w:rsidRDefault="00072E76" w:rsidP="00072E76">
      <w:r w:rsidRPr="00072E76">
        <w:t xml:space="preserve">4.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72E76">
        <w:t>ολόκληρον</w:t>
      </w:r>
      <w:proofErr w:type="spellEnd"/>
      <w:r w:rsidRPr="00072E76">
        <w:t xml:space="preserve">. </w:t>
      </w:r>
    </w:p>
    <w:p w:rsidR="00072E76" w:rsidRPr="00072E76" w:rsidRDefault="00072E76" w:rsidP="00072E76">
      <w:bookmarkStart w:id="30" w:name="__RefHeading___Toc470009788"/>
      <w:bookmarkEnd w:id="30"/>
      <w:r w:rsidRPr="00072E76">
        <w:t>2.2.2</w:t>
      </w:r>
      <w:r w:rsidRPr="00072E76">
        <w:tab/>
        <w:t>Εγγύηση συμμετοχής</w:t>
      </w:r>
    </w:p>
    <w:p w:rsidR="00072E76" w:rsidRPr="00072E76" w:rsidRDefault="00072E76" w:rsidP="00072E76">
      <w:r w:rsidRPr="00072E76">
        <w:t xml:space="preserve">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proofErr w:type="spellStart"/>
      <w:r w:rsidRPr="00072E76">
        <w:t>ποσούΕΙΚΟΣΙ</w:t>
      </w:r>
      <w:proofErr w:type="spellEnd"/>
      <w:r w:rsidRPr="00072E76">
        <w:t xml:space="preserve"> ΧΙΛΙΑΔΩΝ ΔΙΑΚΟΣΙΩΝ ΠΕΝΗΝΤΑ ΤΕΣΣΑΡΩΝ ΕΥΡΩ (20.254,00€) που αντιστοιχεί στο 2% του προϋπολογισμού της παρούσας χωρίς τον ΦΠΑ.</w:t>
      </w:r>
    </w:p>
    <w:p w:rsidR="00072E76" w:rsidRPr="00072E76" w:rsidRDefault="00072E76" w:rsidP="00072E76">
      <w:r w:rsidRPr="00072E76">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72E76" w:rsidRPr="00072E76" w:rsidRDefault="00072E76" w:rsidP="00072E76">
      <w:r w:rsidRPr="00072E76">
        <w:t>Η εγγύηση συμμετοχής πρέπει να ισχύει τουλάχιστον για τριάντα (30) ημέρες μετά τη λήξη του χρόνου ισχύος της προσφοράς του άρθρου 2.4.5 της παρούσας, ήτοι τουλάχιστον επτά (7) μήνες από την επόμενη της καταληκτικής ημερομηνίας υποβολής προσφορών,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072E76" w:rsidRPr="00072E76" w:rsidRDefault="00072E76" w:rsidP="00072E76">
      <w:r w:rsidRPr="00072E76">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072E76" w:rsidRPr="00072E76" w:rsidRDefault="00072E76" w:rsidP="00072E76">
      <w:r w:rsidRPr="00072E76">
        <w:t xml:space="preserve">2.2.2.2.Η εγγύηση συμμετοχής επιστρέφεται στον ανάδοχο με την προσκόμιση της εγγύησης καλής εκτέλεσης. </w:t>
      </w:r>
    </w:p>
    <w:p w:rsidR="00072E76" w:rsidRPr="00072E76" w:rsidRDefault="00072E76" w:rsidP="00072E76">
      <w:r w:rsidRPr="00072E76">
        <w:t>Η εγγύηση συμμετοχής επιστρέφεται στους λοιπούς προσφέροντες, σύμφωνα με τα ειδικότερα οριζόμενα στο άρθρο 302 του ν. 4412/2016.</w:t>
      </w:r>
    </w:p>
    <w:p w:rsidR="00072E76" w:rsidRPr="00072E76" w:rsidRDefault="00072E76" w:rsidP="00072E76">
      <w:r w:rsidRPr="00072E76">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072E76">
        <w:t>περ</w:t>
      </w:r>
      <w:proofErr w:type="spellEnd"/>
      <w:r w:rsidRPr="00072E76">
        <w:t xml:space="preserve">. 46 </w:t>
      </w:r>
      <w:r w:rsidRPr="00072E76">
        <w:lastRenderedPageBreak/>
        <w:t>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072E76" w:rsidRPr="00072E76" w:rsidRDefault="00072E76" w:rsidP="00072E76">
      <w:bookmarkStart w:id="31" w:name="__RefHeading___Toc470009789"/>
      <w:r w:rsidRPr="00072E76">
        <w:t>2.2.3</w:t>
      </w:r>
      <w:r w:rsidRPr="00072E76">
        <w:tab/>
        <w:t>Λόγοι αποκλεισμού</w:t>
      </w:r>
      <w:bookmarkEnd w:id="31"/>
    </w:p>
    <w:p w:rsidR="00072E76" w:rsidRPr="00072E76" w:rsidRDefault="00072E76" w:rsidP="00072E76">
      <w:r w:rsidRPr="00072E76">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072E76" w:rsidRPr="00072E76" w:rsidRDefault="00072E76" w:rsidP="00072E76">
      <w:r w:rsidRPr="00072E76">
        <w:t xml:space="preserve">2.2.3.1.  Όταν υπάρχει σε βάρος του αμετάκλητη καταδικαστική απόφαση για ένα από τα ακόλουθα εγκλήματα: </w:t>
      </w:r>
    </w:p>
    <w:p w:rsidR="00072E76" w:rsidRPr="00072E76" w:rsidRDefault="00072E76" w:rsidP="00072E76">
      <w:r w:rsidRPr="00072E76">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072E76" w:rsidRPr="00072E76" w:rsidRDefault="00072E76" w:rsidP="00072E76">
      <w:r w:rsidRPr="00072E76">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072E76" w:rsidRPr="00072E76" w:rsidRDefault="00072E76" w:rsidP="00072E76">
      <w:r w:rsidRPr="00072E76">
        <w:t xml:space="preserve">γ) απάτη εις βάρος των οικονομικών συμφερόντων της </w:t>
      </w:r>
      <w:proofErr w:type="spellStart"/>
      <w:r w:rsidRPr="00072E76">
        <w:t>Ένωσης,κατά</w:t>
      </w:r>
      <w:proofErr w:type="spellEnd"/>
      <w:r w:rsidRPr="00072E76">
        <w:t xml:space="preserve">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072E76">
        <w:t>επ</w:t>
      </w:r>
      <w:proofErr w:type="spellEnd"/>
      <w:r w:rsidRPr="00072E76">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072E76" w:rsidRPr="00072E76" w:rsidRDefault="00072E76" w:rsidP="00072E76">
      <w:r w:rsidRPr="00072E76">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w:t>
      </w:r>
      <w:r w:rsidRPr="00072E76">
        <w:lastRenderedPageBreak/>
        <w:t>αυτής, και τα εγκλήματα των άρθρων 187Α και 187Β του Ποινικού Κώδικα, καθώς και τα εγκλήματα των άρθρων 32-35 του ν. 4689/2020 (Α’103),</w:t>
      </w:r>
    </w:p>
    <w:p w:rsidR="00072E76" w:rsidRPr="00072E76" w:rsidRDefault="00072E76" w:rsidP="00072E76">
      <w:r w:rsidRPr="00072E76">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072E76">
        <w:t>αριθμ</w:t>
      </w:r>
      <w:proofErr w:type="spellEnd"/>
      <w:r w:rsidRPr="00072E76">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rsidR="00072E76" w:rsidRPr="00072E76" w:rsidRDefault="00072E76" w:rsidP="00072E76">
      <w:r w:rsidRPr="00072E76">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072E76" w:rsidRPr="00072E76" w:rsidRDefault="00072E76" w:rsidP="00072E76">
      <w:r w:rsidRPr="00072E76">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w:t>
      </w:r>
    </w:p>
    <w:p w:rsidR="00072E76" w:rsidRPr="00072E76" w:rsidRDefault="00072E76" w:rsidP="00072E76">
      <w:r w:rsidRPr="00072E76">
        <w:t>Στις περιπτώσεις εταιρειών περιορισμένης ευθύνης (Ε.Π.Ε.), προσωπικών εταιρειών (Ο.Ε. και Ε.Ε.) και ιδιωτικών κεφαλαιουχικών εταιρειών (I.K.E.), τους διαχειριστές.</w:t>
      </w:r>
    </w:p>
    <w:p w:rsidR="00072E76" w:rsidRPr="00072E76" w:rsidRDefault="00072E76" w:rsidP="00072E76">
      <w:r w:rsidRPr="00072E76">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072E76" w:rsidRPr="00072E76" w:rsidRDefault="00072E76" w:rsidP="00072E76">
      <w:bookmarkStart w:id="32" w:name="_Hlk499897029"/>
      <w:r w:rsidRPr="00072E76">
        <w:t>Στις περιπτώσεις των Συνεταιρισμών, τα μέλη του Διοικητικού Συμβουλίου.</w:t>
      </w:r>
    </w:p>
    <w:bookmarkEnd w:id="32"/>
    <w:p w:rsidR="00072E76" w:rsidRPr="00072E76" w:rsidRDefault="00072E76" w:rsidP="00072E76">
      <w:r w:rsidRPr="00072E76">
        <w:t xml:space="preserve">Σε όλες τις υπόλοιπες περιπτώσεις νομικών προσώπων, τον κατά περίπτωση  νόμιμο εκπρόσωπο. </w:t>
      </w:r>
    </w:p>
    <w:p w:rsidR="00072E76" w:rsidRPr="00072E76" w:rsidRDefault="00072E76" w:rsidP="00072E76">
      <w:r w:rsidRPr="00072E76">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072E76" w:rsidRPr="00072E76" w:rsidRDefault="00072E76" w:rsidP="00072E76">
      <w:r w:rsidRPr="00072E76">
        <w:t>2.2.3.2. Στις ακόλουθες περιπτώσεις :</w:t>
      </w:r>
    </w:p>
    <w:p w:rsidR="00072E76" w:rsidRPr="00072E76" w:rsidRDefault="00072E76" w:rsidP="00072E76">
      <w:r w:rsidRPr="00072E76">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072E76" w:rsidRPr="00072E76" w:rsidRDefault="00072E76" w:rsidP="00072E76">
      <w:r w:rsidRPr="00072E76">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72E76" w:rsidRPr="00072E76" w:rsidRDefault="00072E76" w:rsidP="00072E76">
      <w:r w:rsidRPr="00072E76">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072E76" w:rsidRPr="00072E76" w:rsidRDefault="00072E76" w:rsidP="00072E76">
      <w:r w:rsidRPr="00072E76">
        <w:t xml:space="preserve">Οι υποχρεώσεις των </w:t>
      </w:r>
      <w:proofErr w:type="spellStart"/>
      <w:r w:rsidRPr="00072E76">
        <w:t>περ</w:t>
      </w:r>
      <w:proofErr w:type="spellEnd"/>
      <w:r w:rsidRPr="00072E76">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072E76" w:rsidRPr="00072E76" w:rsidRDefault="00072E76" w:rsidP="00072E76">
      <w:r w:rsidRPr="00072E76">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 </w:t>
      </w:r>
    </w:p>
    <w:p w:rsidR="00072E76" w:rsidRPr="00072E76" w:rsidRDefault="00072E76" w:rsidP="00072E76">
      <w:bookmarkStart w:id="33" w:name="__RefHeading___Toc470009790"/>
      <w:r w:rsidRPr="00072E76">
        <w:t>2.2.3.3. (Παραμένει για λόγους αρίθμησης)</w:t>
      </w:r>
    </w:p>
    <w:p w:rsidR="00072E76" w:rsidRPr="00072E76" w:rsidRDefault="00072E76" w:rsidP="00072E76">
      <w:r w:rsidRPr="00072E76">
        <w:lastRenderedPageBreak/>
        <w:t xml:space="preserve">2.2.3.4. Αποκλείεται από τη συμμετοχή στη διαδικασία σύναψης της παρούσας σύμβασης, οικονομικός φορέας σε οποιαδήποτε από τις ακόλουθες καταστάσεις: </w:t>
      </w:r>
    </w:p>
    <w:p w:rsidR="00072E76" w:rsidRPr="00072E76" w:rsidRDefault="00072E76" w:rsidP="00072E76">
      <w:r w:rsidRPr="00072E76">
        <w:t>(α) εάν έχει αθετήσει τις υποχρεώσεις που προβλέπονται στην παρ. 2 του άρθρου 18 περί αρχών που εφαρμόζονται στις διαδικασίες σύναψης δημοσίων συμβάσεων,</w:t>
      </w:r>
    </w:p>
    <w:p w:rsidR="00072E76" w:rsidRPr="00072E76" w:rsidRDefault="00072E76" w:rsidP="00072E76">
      <w:r w:rsidRPr="00072E76">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072E76" w:rsidRPr="00072E76" w:rsidRDefault="00072E76" w:rsidP="00072E76">
      <w:r w:rsidRPr="00072E76">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072E76" w:rsidRPr="00072E76" w:rsidRDefault="00072E76" w:rsidP="00072E76">
      <w:r w:rsidRPr="00072E76">
        <w:t xml:space="preserve">δ) εάν μία κατάσταση σύγκρουσης συμφερόντων κατά την έννοια του άρθρου 262 του ν. 4412/2016 δεν μπορεί να θεραπευθεί αποτελεσματικά με άλλα, λιγότερο παρεμβατικά, μέσα, </w:t>
      </w:r>
    </w:p>
    <w:p w:rsidR="00072E76" w:rsidRPr="00072E76" w:rsidRDefault="00072E76" w:rsidP="00072E76">
      <w:r w:rsidRPr="00072E76">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072E76" w:rsidRPr="00072E76" w:rsidRDefault="00072E76" w:rsidP="00072E76">
      <w:r w:rsidRPr="00072E76">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αναθέτουσα αρχή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72E76" w:rsidRPr="00072E76" w:rsidRDefault="00072E76" w:rsidP="00072E76">
      <w:r w:rsidRPr="00072E76">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072E76" w:rsidRPr="00072E76" w:rsidRDefault="00072E76" w:rsidP="00072E76">
      <w:r w:rsidRPr="00072E76">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072E76" w:rsidRPr="00072E76" w:rsidRDefault="00072E76" w:rsidP="00072E76">
      <w:r w:rsidRPr="00072E76">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072E76">
        <w:t>αμφιβόλω</w:t>
      </w:r>
      <w:proofErr w:type="spellEnd"/>
      <w:r w:rsidRPr="00072E76">
        <w:t xml:space="preserve"> την ακεραιότητά του. </w:t>
      </w:r>
    </w:p>
    <w:p w:rsidR="00072E76" w:rsidRPr="00072E76" w:rsidRDefault="00072E76" w:rsidP="00072E76">
      <w:r w:rsidRPr="00072E76">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 </w:t>
      </w:r>
    </w:p>
    <w:p w:rsidR="00072E76" w:rsidRPr="00072E76" w:rsidRDefault="00072E76" w:rsidP="00072E76">
      <w:r w:rsidRPr="00072E76">
        <w:t>2.2.3.5.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rsidR="00072E76" w:rsidRPr="00072E76" w:rsidRDefault="00072E76" w:rsidP="00072E76">
      <w:r w:rsidRPr="00072E76">
        <w:lastRenderedPageBreak/>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072E76">
        <w:t>investmentfirms</w:t>
      </w:r>
      <w:proofErr w:type="spellEnd"/>
      <w:r w:rsidRPr="00072E76">
        <w:t>), εταιρείες διαχείρισης κεφαλαίων/ενεργητικού (</w:t>
      </w:r>
      <w:proofErr w:type="spellStart"/>
      <w:r w:rsidRPr="00072E76">
        <w:t>asset</w:t>
      </w:r>
      <w:proofErr w:type="spellEnd"/>
      <w:r w:rsidRPr="00072E76">
        <w:t>/</w:t>
      </w:r>
      <w:proofErr w:type="spellStart"/>
      <w:r w:rsidRPr="00072E76">
        <w:t>fundmanagers</w:t>
      </w:r>
      <w:proofErr w:type="spellEnd"/>
      <w:r w:rsidRPr="00072E76">
        <w:t>) ή εταιρείες διαχείρισης κεφαλαίων επιχειρηματικών συμμετοχών (</w:t>
      </w:r>
      <w:proofErr w:type="spellStart"/>
      <w:r w:rsidRPr="00072E76">
        <w:t>privateequityfirms</w:t>
      </w:r>
      <w:proofErr w:type="spellEnd"/>
      <w:r w:rsidRPr="00072E76">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072E76" w:rsidRPr="00072E76" w:rsidRDefault="00072E76" w:rsidP="00072E76">
      <w:r w:rsidRPr="00072E76">
        <w:t>2.2.3.5.α</w:t>
      </w:r>
    </w:p>
    <w:p w:rsidR="00072E76" w:rsidRPr="00072E76" w:rsidRDefault="00072E76" w:rsidP="00072E76">
      <w:r w:rsidRPr="00072E76">
        <w:t>Απαγορεύεται η ανάθεση της παρούσας σύμβασης, σε:</w:t>
      </w:r>
    </w:p>
    <w:p w:rsidR="00072E76" w:rsidRPr="00072E76" w:rsidRDefault="00072E76" w:rsidP="00072E76">
      <w:r w:rsidRPr="00072E76">
        <w:t xml:space="preserve">α) Ρώσο υπήκοο ή φυσικό ή νομικό πρόσωπο, οντότητα ή φορέα που έχει </w:t>
      </w:r>
      <w:proofErr w:type="spellStart"/>
      <w:r w:rsidRPr="00072E76">
        <w:t>τηνέδρα</w:t>
      </w:r>
      <w:proofErr w:type="spellEnd"/>
      <w:r w:rsidRPr="00072E76">
        <w:t xml:space="preserve"> του στη Ρωσία  </w:t>
      </w:r>
    </w:p>
    <w:p w:rsidR="00072E76" w:rsidRPr="00072E76" w:rsidRDefault="00072E76" w:rsidP="00072E76">
      <w:r w:rsidRPr="00072E76">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rsidR="00072E76" w:rsidRPr="00072E76" w:rsidRDefault="00072E76" w:rsidP="00072E76">
      <w:r w:rsidRPr="00072E76">
        <w:t xml:space="preserve">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w:t>
      </w:r>
      <w:proofErr w:type="spellStart"/>
      <w:r w:rsidRPr="00072E76">
        <w:t>όταναντιστοιχούν</w:t>
      </w:r>
      <w:proofErr w:type="spellEnd"/>
      <w:r w:rsidRPr="00072E76">
        <w:t xml:space="preserve">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p>
    <w:p w:rsidR="00072E76" w:rsidRPr="00072E76" w:rsidRDefault="00072E76" w:rsidP="00072E76">
      <w:r w:rsidRPr="00072E76">
        <w:t xml:space="preserve">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072E76" w:rsidRPr="00072E76" w:rsidRDefault="00072E76" w:rsidP="00072E76">
      <w:r w:rsidRPr="00072E76">
        <w:t xml:space="preserve">2.2.3.7. Οικονομικός φορέας που εμπίπτει σε μια από τις καταστάσεις που αναφέρονται στις παραγράφους 2.2.3.1 και 2.2.3.3, εκτός από την </w:t>
      </w:r>
      <w:proofErr w:type="spellStart"/>
      <w:r w:rsidRPr="00072E76">
        <w:t>περ</w:t>
      </w:r>
      <w:proofErr w:type="spellEnd"/>
      <w:r w:rsidRPr="00072E76">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72E76">
        <w:t>αυτoκάθαρση</w:t>
      </w:r>
      <w:proofErr w:type="spellEnd"/>
      <w:r w:rsidRPr="00072E76">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072E76" w:rsidRPr="00072E76" w:rsidRDefault="00072E76" w:rsidP="00072E76">
      <w:r w:rsidRPr="00072E76">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072E76" w:rsidRPr="00072E76" w:rsidRDefault="00072E76" w:rsidP="00072E76"/>
    <w:p w:rsidR="00072E76" w:rsidRPr="00072E76" w:rsidRDefault="00072E76" w:rsidP="00072E76">
      <w:r w:rsidRPr="00072E76">
        <w:t xml:space="preserve">2.2.3.8. 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καθώς και στην υπ’ </w:t>
      </w:r>
      <w:proofErr w:type="spellStart"/>
      <w:r w:rsidRPr="00072E76">
        <w:t>αριθμ</w:t>
      </w:r>
      <w:proofErr w:type="spellEnd"/>
      <w:r w:rsidRPr="00072E76">
        <w:t xml:space="preserve">. 102080/24-10-2022 (Β΄5623/02.11.2022) απόφαση του Υπουργού Ανάπτυξης και Επενδύσεων με </w:t>
      </w:r>
      <w:proofErr w:type="spellStart"/>
      <w:r w:rsidRPr="00072E76">
        <w:t>θέμα:«Ρύθμιση</w:t>
      </w:r>
      <w:proofErr w:type="spellEnd"/>
      <w:r w:rsidRPr="00072E76">
        <w:t xml:space="preserve"> θεμάτων σχετικά με την εξέταση επανορθωτικών μέτρων από την Επιτροπή της παρ.9 του άρθρου 73 του ν.4412/2016».</w:t>
      </w:r>
    </w:p>
    <w:p w:rsidR="00072E76" w:rsidRPr="00072E76" w:rsidRDefault="00072E76" w:rsidP="00072E76">
      <w:r w:rsidRPr="00072E76">
        <w:lastRenderedPageBreak/>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8" w:history="1">
        <w:r w:rsidRPr="00072E76">
          <w:t>epanorthotika@eaadhsy.gr</w:t>
        </w:r>
      </w:hyperlink>
    </w:p>
    <w:p w:rsidR="00072E76" w:rsidRPr="00072E76" w:rsidRDefault="00072E76" w:rsidP="00072E76">
      <w:r w:rsidRPr="00072E76">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κ.λπ.),η αναθέτουσα αρχή, πριν από τη σύνταξη και αποστολή του σχεδίου απόφασης στην Επιτροπή, υποχρεούται να ζητήσει από τον οικονομικό </w:t>
      </w:r>
      <w:proofErr w:type="spellStart"/>
      <w:r w:rsidRPr="00072E76">
        <w:t>φορέατην</w:t>
      </w:r>
      <w:proofErr w:type="spellEnd"/>
      <w:r w:rsidRPr="00072E76">
        <w:t xml:space="preserve">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στοιχείων, η αναθέτουσα αρχή παρατείνει την προθεσμία υποβολής, για όσο χρόνο απαιτηθεί για τη χορήγησή τους από τις αρμόδιες δημόσιες αρχές.</w:t>
      </w:r>
    </w:p>
    <w:p w:rsidR="00072E76" w:rsidRPr="00072E76" w:rsidRDefault="00072E76" w:rsidP="00072E76">
      <w:r w:rsidRPr="00072E76">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rsidR="00072E76" w:rsidRPr="00072E76" w:rsidRDefault="00072E76" w:rsidP="00072E76"/>
    <w:p w:rsidR="00072E76" w:rsidRPr="00072E76" w:rsidRDefault="00072E76" w:rsidP="00072E76">
      <w:r w:rsidRPr="00072E76">
        <w:t xml:space="preserve">Αν ο οικονομικός φορέας δεν ανταποκριθεί στην πρόσκληση της αναθέτουσας αρχής, το γεγονός αυτό μνημονεύεται στο σχέδιο της απόφασης. </w:t>
      </w:r>
    </w:p>
    <w:p w:rsidR="00072E76" w:rsidRPr="00072E76" w:rsidRDefault="00072E76" w:rsidP="00072E76"/>
    <w:p w:rsidR="00072E76" w:rsidRPr="00072E76" w:rsidRDefault="00072E76" w:rsidP="00072E76">
      <w:r w:rsidRPr="00072E76">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μετά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rsidR="00072E76" w:rsidRPr="00072E76" w:rsidRDefault="00072E76" w:rsidP="00072E76"/>
    <w:p w:rsidR="00072E76" w:rsidRPr="00072E76" w:rsidRDefault="00072E76" w:rsidP="00072E76">
      <w:r w:rsidRPr="00072E76">
        <w:t xml:space="preserve">Στην περίπτωση που, κατά την </w:t>
      </w:r>
      <w:proofErr w:type="spellStart"/>
      <w:r w:rsidRPr="00072E76">
        <w:t>υποβολήτου</w:t>
      </w:r>
      <w:proofErr w:type="spellEnd"/>
      <w:r w:rsidRPr="00072E76">
        <w:t xml:space="preserve"> ΕΕΕΣ, από τον οικονομικό φορέα, δεν συνέτρεχε στο πρόσωπο του κάποιος από τους λόγους αποκλεισμού της παρ.1 και της παρ.4, εκτός από την </w:t>
      </w:r>
      <w:proofErr w:type="spellStart"/>
      <w:r w:rsidRPr="00072E76">
        <w:t>περ</w:t>
      </w:r>
      <w:proofErr w:type="spellEnd"/>
      <w:r w:rsidRPr="00072E76">
        <w:t>. β’ αυτής, του άρθρου73 του ν.4412/2016, αλλά η συνδρομή του προέκυψε, κατά τη διάρκεια της παρούσας διαδικασίας (</w:t>
      </w:r>
      <w:proofErr w:type="spellStart"/>
      <w:r w:rsidRPr="00072E76">
        <w:t>οψιγενής</w:t>
      </w:r>
      <w:proofErr w:type="spellEnd"/>
      <w:r w:rsidRPr="00072E76">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rsidR="00072E76" w:rsidRPr="00072E76" w:rsidRDefault="00072E76" w:rsidP="00072E76">
      <w:r w:rsidRPr="00072E76">
        <w:t>Οι διαδικαστικές λεπτομέρειες εξέτασης και επανεξέτασης των επανορθωτικών μέτρων ρυθμίζονται αναλυτικά στην ως άνω υπουργική απόφαση</w:t>
      </w:r>
    </w:p>
    <w:p w:rsidR="00072E76" w:rsidRPr="00072E76" w:rsidRDefault="00072E76" w:rsidP="00072E76"/>
    <w:p w:rsidR="00072E76" w:rsidRPr="00072E76" w:rsidRDefault="00072E76" w:rsidP="00072E76">
      <w:r w:rsidRPr="00072E76">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072E76" w:rsidRPr="00072E76" w:rsidRDefault="00072E76" w:rsidP="00072E76"/>
    <w:p w:rsidR="00072E76" w:rsidRPr="00072E76" w:rsidRDefault="00072E76" w:rsidP="00072E76">
      <w:r w:rsidRPr="00072E76">
        <w:t>Κριτήρια Επιλογής</w:t>
      </w:r>
    </w:p>
    <w:p w:rsidR="00072E76" w:rsidRPr="00072E76" w:rsidRDefault="00072E76" w:rsidP="00072E76">
      <w:pPr>
        <w:rPr>
          <w:rFonts w:eastAsia="Calibri"/>
        </w:rPr>
      </w:pPr>
      <w:r w:rsidRPr="00072E76">
        <w:t>2.2.4</w:t>
      </w:r>
      <w:r w:rsidRPr="00072E76">
        <w:tab/>
        <w:t>Καταλληλόλητα άσκησης επαγγελματικής δραστηριότητας</w:t>
      </w:r>
      <w:bookmarkEnd w:id="33"/>
    </w:p>
    <w:p w:rsidR="00072E76" w:rsidRPr="00072E76" w:rsidRDefault="00072E76" w:rsidP="00072E76">
      <w:pPr>
        <w:rPr>
          <w:rFonts w:eastAsia="Calibri"/>
        </w:rPr>
      </w:pPr>
      <w:r w:rsidRPr="00072E76">
        <w:rPr>
          <w:rFonts w:eastAsia="Calibri"/>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w:t>
      </w:r>
      <w:r w:rsidRPr="00072E76">
        <w:rPr>
          <w:rFonts w:eastAsia="Calibri"/>
        </w:rPr>
        <w:lastRenderedPageBreak/>
        <w:t xml:space="preserve">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072E76" w:rsidRPr="00072E76" w:rsidRDefault="00072E76" w:rsidP="00072E76">
      <w:pPr>
        <w:rPr>
          <w:rFonts w:eastAsia="Calibri"/>
        </w:rPr>
      </w:pPr>
      <w:r w:rsidRPr="00072E76">
        <w:rPr>
          <w:rFonts w:eastAsia="Calibri"/>
        </w:rPr>
        <w:t>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072E76" w:rsidRPr="00072E76" w:rsidRDefault="00072E76" w:rsidP="00072E76">
      <w:pPr>
        <w:rPr>
          <w:rFonts w:eastAsia="Calibri"/>
        </w:rPr>
      </w:pPr>
      <w:r w:rsidRPr="00072E76">
        <w:rPr>
          <w:rFonts w:eastAsia="Calibri"/>
        </w:rPr>
        <w:t>Οι εγκατεστημένοι στην Ελλάδα οικονομικοί φορείς απαιτείται να είναι εγγεγραμμένοι στο Βιοτεχνικό ή Εμπορικό ή Βιομηχανικό Επιμελητήριο.</w:t>
      </w:r>
      <w:bookmarkStart w:id="34" w:name="__RefHeading___Toc470009791"/>
    </w:p>
    <w:p w:rsidR="00072E76" w:rsidRPr="00072E76" w:rsidRDefault="00072E76" w:rsidP="00072E76">
      <w:r w:rsidRPr="00072E76">
        <w:t xml:space="preserve">Στην περίπτωση ένωσης οικονομικών φορέων η καταλληλότητα άσκησης επαγγελματικής δραστηριότητας θα πρέπει να καλύπτεται από όλα τα μέλη της ένωση.  </w:t>
      </w:r>
    </w:p>
    <w:p w:rsidR="00072E76" w:rsidRPr="00072E76" w:rsidRDefault="00072E76" w:rsidP="00072E76">
      <w:r w:rsidRPr="00072E76">
        <w:t>2.2.5</w:t>
      </w:r>
      <w:r w:rsidRPr="00072E76">
        <w:tab/>
        <w:t>Οικονομική και χρηματοοικονομική επάρκεια</w:t>
      </w:r>
      <w:bookmarkEnd w:id="34"/>
    </w:p>
    <w:p w:rsidR="00072E76" w:rsidRPr="00072E76" w:rsidRDefault="00072E76" w:rsidP="00072E76">
      <w:r w:rsidRPr="00072E76">
        <w:t xml:space="preserve">Όσον αφορά την οικονομική και χρηματοοικονομική επάρκεια για την παρούσα διαδικασία σύναψης σύμβασης, οι οικονομικοί φορείς </w:t>
      </w:r>
      <w:proofErr w:type="spellStart"/>
      <w:r w:rsidRPr="00072E76">
        <w:t>απαιτείταινα</w:t>
      </w:r>
      <w:proofErr w:type="spellEnd"/>
      <w:r w:rsidRPr="00072E76">
        <w:t xml:space="preserve"> διαθέτουν:</w:t>
      </w:r>
    </w:p>
    <w:p w:rsidR="00072E76" w:rsidRPr="00072E76" w:rsidRDefault="00072E76" w:rsidP="00072E76">
      <w:r w:rsidRPr="00072E76">
        <w:t xml:space="preserve">Πιστοληπτική ικανότητα τουλάχιστον ίση με το 100% της εκτιμώμενης αξίας της σύμβασης χωρίς Φ.Π.Α. </w:t>
      </w:r>
    </w:p>
    <w:p w:rsidR="00072E76" w:rsidRPr="00072E76" w:rsidRDefault="00072E76" w:rsidP="00072E76">
      <w:r w:rsidRPr="00072E76">
        <w:t>μέσο γενικό ετήσιο κύκλο εργασιών για τις 3 τελευταίες δηλούμενες οικονομικές χρήσεις (έτη 2020, 2021 και 2022) τουλάχιστον ίσο με την εκτιμώμενη αξία της σύμβασης χωρίς Φ.Π.Α. και</w:t>
      </w:r>
    </w:p>
    <w:p w:rsidR="00072E76" w:rsidRPr="00072E76" w:rsidRDefault="00072E76" w:rsidP="00072E76">
      <w:r w:rsidRPr="00072E76">
        <w:t>να μην έχει για τις 3 τελευταίες δηλούμενες οικονομικές χρήσεις (έτη 2020, 2021 και 2022), αρνητικό αποτέλεσμα (καθαρό αποτέλεσμα χρήσης προ Φόρων).</w:t>
      </w:r>
    </w:p>
    <w:p w:rsidR="00072E76" w:rsidRPr="00072E76" w:rsidRDefault="00072E76" w:rsidP="00072E76">
      <w:r w:rsidRPr="00072E76">
        <w:t>Σε περίπτωση ένωσης οικονομικών φορέων, οι παραπάνω ελάχιστες απαιτήσεις καλύπτονται αθροιστικά από τα μέλη της ένωσης.</w:t>
      </w:r>
    </w:p>
    <w:p w:rsidR="00072E76" w:rsidRPr="00072E76" w:rsidRDefault="00072E76" w:rsidP="00072E76">
      <w:bookmarkStart w:id="35" w:name="__RefHeading___Toc470009792"/>
      <w:r w:rsidRPr="00072E76">
        <w:t>2.2.6</w:t>
      </w:r>
      <w:r w:rsidRPr="00072E76">
        <w:tab/>
        <w:t>Τεχνική και επαγγελματική ικανότητα</w:t>
      </w:r>
      <w:bookmarkEnd w:id="35"/>
    </w:p>
    <w:p w:rsidR="00072E76" w:rsidRPr="00072E76" w:rsidRDefault="00072E76" w:rsidP="00072E76">
      <w:r w:rsidRPr="00072E76">
        <w:t>Όσον αφορά στην τεχνική και επαγγελματική ικανότητα για την παρούσα διαδικασία σύναψης σύμβασης, οι οικονομικοί φορείς απαιτείται να διαθέτουν :</w:t>
      </w:r>
    </w:p>
    <w:p w:rsidR="00072E76" w:rsidRPr="00072E76" w:rsidRDefault="00072E76" w:rsidP="00072E76">
      <w:r w:rsidRPr="00072E76">
        <w:t xml:space="preserve">Εμπειρία ότι έχει εκτελέσει την τελευταία τριετία, δύο (2) τουλάχιστον εφαρμογές σε αντίστοιχες προμήθειες/ εγκαταστάσεις εξοπλισμού τηλεχειρισμού- </w:t>
      </w:r>
      <w:proofErr w:type="spellStart"/>
      <w:r w:rsidRPr="00072E76">
        <w:t>τηλελέγχου</w:t>
      </w:r>
      <w:proofErr w:type="spellEnd"/>
      <w:r w:rsidRPr="00072E76">
        <w:t xml:space="preserve"> δικτύων ύδρευσης ή άρδευσης με χρήση Προγραμματιζόμενων Λογικών Ελεγκτών (PLC) και συστημάτων </w:t>
      </w:r>
      <w:proofErr w:type="spellStart"/>
      <w:r w:rsidRPr="00072E76">
        <w:t>τηλεελέγχου</w:t>
      </w:r>
      <w:proofErr w:type="spellEnd"/>
      <w:r w:rsidRPr="00072E76">
        <w:t xml:space="preserve"> - τηλεχειρισμού (SCADA), όπου η κάθε εφαρμογή θα περιλαμβάνει ένα (1) Κεντρικό Σταθμό ελέγχου, τουλάχιστον δέκα (10) Τοπικούς Σταθμούς και θα έχει ελάχιστο προϋπολογισμό τουλάχιστον ίσο 500.000,00€ (πλέον ΦΠΑ), </w:t>
      </w:r>
      <w:bookmarkStart w:id="36" w:name="_Hlk118371937"/>
    </w:p>
    <w:p w:rsidR="00072E76" w:rsidRPr="00072E76" w:rsidRDefault="00072E76" w:rsidP="00072E76">
      <w:r w:rsidRPr="00072E76">
        <w:t>Εμπειρία ότι έχει εκτελέσει την τελευταία τριετία, δύο (2) τουλάχιστον εφαρμογές σε αντίστοιχες προμήθειες/ εγκαταστάσεις ψηφιακών μετρητών παροχής σε δίκτυα άρδευσης  που κάθε σύμβαση θα περιλαμβάνει τουλάχιστον εκατό (100) θέσεις και</w:t>
      </w:r>
    </w:p>
    <w:p w:rsidR="00072E76" w:rsidRPr="00072E76" w:rsidRDefault="00072E76" w:rsidP="00072E76">
      <w:r w:rsidRPr="00072E76">
        <w:t>Μέσο ετήσιο εργατοϋπαλληλικό δυναμικό και διευθυντικά στελέχη τουλάχιστον δέκα (10) ατόμων κατά τα τελευταία τρία έτη</w:t>
      </w:r>
    </w:p>
    <w:bookmarkEnd w:id="36"/>
    <w:p w:rsidR="00072E76" w:rsidRPr="00072E76" w:rsidRDefault="00072E76" w:rsidP="00072E76">
      <w:r w:rsidRPr="00072E76">
        <w:t>Σε περίπτωση ένωσης οικονομικών φορέων, οι παραπάνω ελάχιστες απαιτήσεις καλύπτονται αθροιστικά (</w:t>
      </w:r>
      <w:proofErr w:type="spellStart"/>
      <w:r w:rsidRPr="00072E76">
        <w:t>πρβλ</w:t>
      </w:r>
      <w:proofErr w:type="spellEnd"/>
      <w:r w:rsidRPr="00072E76">
        <w:t xml:space="preserve">. άρθρο 19 παρ. 2 </w:t>
      </w:r>
      <w:proofErr w:type="spellStart"/>
      <w:r w:rsidRPr="00072E76">
        <w:t>εδ</w:t>
      </w:r>
      <w:proofErr w:type="spellEnd"/>
      <w:r w:rsidRPr="00072E76">
        <w:t>. γ' ν. 4412/2016).</w:t>
      </w:r>
    </w:p>
    <w:p w:rsidR="00072E76" w:rsidRPr="00072E76" w:rsidRDefault="00072E76" w:rsidP="00072E76">
      <w:bookmarkStart w:id="37" w:name="__RefHeading___Toc470009793"/>
      <w:r w:rsidRPr="00072E76">
        <w:t>2.2.7</w:t>
      </w:r>
      <w:r w:rsidRPr="00072E76">
        <w:tab/>
        <w:t xml:space="preserve">Πρότυπα </w:t>
      </w:r>
      <w:proofErr w:type="spellStart"/>
      <w:r w:rsidRPr="00072E76">
        <w:t>Διαχείρισης</w:t>
      </w:r>
      <w:bookmarkEnd w:id="37"/>
      <w:r w:rsidRPr="00072E76">
        <w:t>Ποιότητας</w:t>
      </w:r>
      <w:proofErr w:type="spellEnd"/>
      <w:r w:rsidRPr="00072E76">
        <w:t>, Περιβαλλοντικής Διαχείρισης, Υγείας και Ασφάλειας στην Εργασία</w:t>
      </w:r>
    </w:p>
    <w:p w:rsidR="00072E76" w:rsidRPr="00072E76" w:rsidRDefault="00072E76" w:rsidP="00072E76">
      <w:r w:rsidRPr="00072E76">
        <w:t>Οι οικονομικοί φορείς για την παρούσα διαδικασία σύναψης σύμβασης οφείλουν να συμμορφώνονται και να φέρουν:</w:t>
      </w:r>
    </w:p>
    <w:p w:rsidR="00072E76" w:rsidRPr="00072E76" w:rsidRDefault="00072E76" w:rsidP="00072E76">
      <w:r w:rsidRPr="00072E76">
        <w:t xml:space="preserve">Πιστοποίηση σύμφωνα με το πρότυπο ΕΝ ISO 9001:2015 ή νεότερο για τη διαχείριση ποιότητας, </w:t>
      </w:r>
    </w:p>
    <w:p w:rsidR="00072E76" w:rsidRPr="00072E76" w:rsidRDefault="00072E76" w:rsidP="00072E76">
      <w:r w:rsidRPr="00072E76">
        <w:t xml:space="preserve">Πιστοποίηση σύμφωνα με το πρότυπο ΕΝ ISO 14001:2015 ή νεότερο για τη Περιβαλλοντική διαχείριση, </w:t>
      </w:r>
    </w:p>
    <w:p w:rsidR="00072E76" w:rsidRPr="00072E76" w:rsidRDefault="00072E76" w:rsidP="00072E76">
      <w:r w:rsidRPr="00072E76">
        <w:t xml:space="preserve">Πιστοποίηση σύμφωνα με το πρότυπο ISO 45001:2018 ή νεότερο για την Υγεία και Ασφάλειας Εργασίας, </w:t>
      </w:r>
    </w:p>
    <w:p w:rsidR="00072E76" w:rsidRPr="00072E76" w:rsidRDefault="00072E76" w:rsidP="00072E76">
      <w:r w:rsidRPr="00072E76">
        <w:t>Πιστοποίηση σύμφωνα με το πρότυπο ΕΝ ISO 27001:2013 ή νεότερο για τη διαχείριση της ασφάλειας των πληροφοριών.</w:t>
      </w:r>
    </w:p>
    <w:p w:rsidR="00072E76" w:rsidRPr="00072E76" w:rsidRDefault="00072E76" w:rsidP="00072E76">
      <w:r w:rsidRPr="00072E76">
        <w:lastRenderedPageBreak/>
        <w:t xml:space="preserve">Πιστοποίηση σύμφωνα με το πρότυπο ΕΝ ISO 37001:2017 ή νεότερο, για τη διαχείριση και καταπολέμηση της δωροδοκίας και διαφθοράς. </w:t>
      </w:r>
    </w:p>
    <w:p w:rsidR="00072E76" w:rsidRPr="00072E76" w:rsidRDefault="00072E76" w:rsidP="00072E76">
      <w:bookmarkStart w:id="38" w:name="__RefHeading___Toc470009794"/>
      <w:r w:rsidRPr="00072E76">
        <w:t>Οι παραπάνω πιστοποιήσεις θα πρέπει να βρίσκονται σε ισχύ, τόσο κατά την καταληκτική ημερομηνία υποβολής των προσφορών όσο και κατά την ημέρα υποβολής των αποδεικτικών μέσων, το αντικείμενο τους θα είναι συναφές με αυτό της δημοπρατούμενης προμήθειας- εγκατάστασης. Γίνονται δεκτά και τα ισοδύναμα των παραπάνω προτύπων εφόσον ο προσφέρων είναι σε θέση να το αποδείξει.</w:t>
      </w:r>
    </w:p>
    <w:p w:rsidR="00072E76" w:rsidRPr="00072E76" w:rsidRDefault="00072E76" w:rsidP="00072E76">
      <w:r w:rsidRPr="00072E76">
        <w:t>Σε περίπτωση Ένωσης Οικονομικών Φορέων, οι παραπάνω απαιτήσεις πρέπει να καλύπτονται από τα μέλη της Ένωσης, ανάλογα με τον επιμερισμό και  την φύση του αντικειμένου που αναλαμβάνει το κάθε μέλος.</w:t>
      </w:r>
    </w:p>
    <w:p w:rsidR="00072E76" w:rsidRPr="00072E76" w:rsidRDefault="00072E76" w:rsidP="00072E76">
      <w:bookmarkStart w:id="39" w:name="_Hlk136346331"/>
      <w:r w:rsidRPr="00072E76">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σύμφωνα με τον κανονισμό 765/2008.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bookmarkEnd w:id="39"/>
    <w:p w:rsidR="00072E76" w:rsidRPr="00072E76" w:rsidRDefault="00072E76" w:rsidP="00072E76">
      <w:r w:rsidRPr="00072E76">
        <w:t>2.2.8</w:t>
      </w:r>
      <w:r w:rsidRPr="00072E76">
        <w:tab/>
        <w:t>Στήριξη στην ικανότητα τρίτων</w:t>
      </w:r>
      <w:bookmarkEnd w:id="38"/>
      <w:r w:rsidRPr="00072E76">
        <w:t>– Υπεργολαβία</w:t>
      </w:r>
    </w:p>
    <w:p w:rsidR="00072E76" w:rsidRPr="00072E76" w:rsidRDefault="00072E76" w:rsidP="00072E76">
      <w:r w:rsidRPr="00072E76">
        <w:t>2.2.8.1. Στήριξη στην ικανότητα τρίτων</w:t>
      </w:r>
    </w:p>
    <w:p w:rsidR="00072E76" w:rsidRPr="00072E76" w:rsidRDefault="00072E76" w:rsidP="00072E76">
      <w:r w:rsidRPr="00072E76">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072E76" w:rsidRPr="00072E76" w:rsidRDefault="00072E76" w:rsidP="00072E76">
      <w:r w:rsidRPr="00072E76">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072E76" w:rsidRPr="00072E76" w:rsidRDefault="00072E76" w:rsidP="00072E76">
      <w:r w:rsidRPr="00072E76">
        <w:t>Υπό τους ίδιους όρους οι ενώσεις οικονομικών φορέων μπορούν να στηρίζονται στις ικανότητες των συμμετεχόντων στην ένωση ή άλλων φορέων.</w:t>
      </w:r>
    </w:p>
    <w:p w:rsidR="00072E76" w:rsidRPr="00072E76" w:rsidRDefault="00072E76" w:rsidP="00072E76">
      <w:r w:rsidRPr="00072E76">
        <w:t xml:space="preserve">Η αναθέτουσα αρχή ελέγχει αν οι </w:t>
      </w:r>
      <w:proofErr w:type="spellStart"/>
      <w:r w:rsidRPr="00072E76">
        <w:t>φoρείς</w:t>
      </w:r>
      <w:proofErr w:type="spellEnd"/>
      <w:r w:rsidRPr="00072E76">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072E76" w:rsidRPr="00072E76" w:rsidRDefault="00072E76" w:rsidP="00072E76">
      <w:bookmarkStart w:id="40" w:name="__RefHeading___Toc470009795"/>
      <w:bookmarkEnd w:id="40"/>
      <w:r w:rsidRPr="00072E76">
        <w:t>2.2.8.2. Υπεργολαβία</w:t>
      </w:r>
    </w:p>
    <w:p w:rsidR="00072E76" w:rsidRPr="00072E76" w:rsidRDefault="00072E76" w:rsidP="00072E76">
      <w:r w:rsidRPr="00072E76">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072E76" w:rsidRPr="00072E76" w:rsidRDefault="00072E76" w:rsidP="00072E76">
      <w:r w:rsidRPr="00072E76">
        <w:t>2.2.9</w:t>
      </w:r>
      <w:r w:rsidRPr="00072E76">
        <w:tab/>
        <w:t>Κανόνες απόδειξης ποιοτικής επιλογής</w:t>
      </w:r>
    </w:p>
    <w:p w:rsidR="00072E76" w:rsidRPr="00072E76" w:rsidRDefault="00072E76" w:rsidP="00072E76">
      <w:r w:rsidRPr="00072E76">
        <w:lastRenderedPageBreak/>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σύμφωνα με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072E76">
        <w:t>περ</w:t>
      </w:r>
      <w:proofErr w:type="spellEnd"/>
      <w:r w:rsidRPr="00072E76">
        <w:t xml:space="preserve">. </w:t>
      </w:r>
      <w:proofErr w:type="spellStart"/>
      <w:r w:rsidRPr="00072E76">
        <w:t>δ΄</w:t>
      </w:r>
      <w:proofErr w:type="spellEnd"/>
      <w:r w:rsidRPr="00072E76">
        <w:t xml:space="preserve"> της παρ. 3 του άρθρου 316 του ν. 4412/2016. </w:t>
      </w:r>
    </w:p>
    <w:p w:rsidR="00072E76" w:rsidRPr="00072E76" w:rsidRDefault="00072E76" w:rsidP="00072E76">
      <w:r w:rsidRPr="00072E76">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072E76" w:rsidRPr="00072E76" w:rsidRDefault="00072E76" w:rsidP="00072E76">
      <w:r w:rsidRPr="00072E76">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 </w:t>
      </w:r>
    </w:p>
    <w:p w:rsidR="00072E76" w:rsidRPr="00072E76" w:rsidRDefault="00072E76" w:rsidP="00072E76">
      <w:r w:rsidRPr="00072E76">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072E76" w:rsidRPr="00072E76" w:rsidRDefault="00072E76" w:rsidP="00072E76">
      <w:bookmarkStart w:id="41" w:name="__RefHeading___Toc470009796"/>
      <w:r w:rsidRPr="00072E76">
        <w:t>2.2.9.1</w:t>
      </w:r>
      <w:r w:rsidRPr="00072E76">
        <w:tab/>
        <w:t>Προκαταρκτική απόδειξη κατά την υποβολή προσφορών</w:t>
      </w:r>
      <w:bookmarkEnd w:id="41"/>
    </w:p>
    <w:p w:rsidR="00072E76" w:rsidRPr="00072E76" w:rsidRDefault="00072E76" w:rsidP="00072E76">
      <w:r w:rsidRPr="00072E76">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w:t>
      </w:r>
      <w:proofErr w:type="spellStart"/>
      <w:r w:rsidRPr="00072E76">
        <w:t>παρούσας,προσκομίζουν</w:t>
      </w:r>
      <w:proofErr w:type="spellEnd"/>
      <w:r w:rsidRPr="00072E76">
        <w:t xml:space="preserve">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w:t>
      </w:r>
      <w:proofErr w:type="spellStart"/>
      <w:r w:rsidRPr="00072E76">
        <w:t>ΙΙΙ,το</w:t>
      </w:r>
      <w:proofErr w:type="spellEnd"/>
      <w:r w:rsidRPr="00072E76">
        <w:t xml:space="preserve">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καθώς και τα διαλαμβανόμενα στην κατευθυντήρια οδηγία 23 της ΕΑΑΔΗΣΥ.</w:t>
      </w:r>
      <w:r w:rsidRPr="00072E76">
        <w:footnoteReference w:id="1"/>
      </w:r>
    </w:p>
    <w:p w:rsidR="00072E76" w:rsidRPr="00072E76" w:rsidRDefault="00072E76" w:rsidP="00072E76">
      <w:r w:rsidRPr="00072E76">
        <w:t>Για την ηλεκτρονική δημιουργία, διαχείριση και συμπλήρωση του Ε.Ε.Ε.Σ., λειτουργεί πλέον ο σύνδεσμος </w:t>
      </w:r>
      <w:hyperlink r:id="rId19" w:tgtFrame="_blank" w:history="1">
        <w:r w:rsidRPr="00072E76">
          <w:t>https://espd.eprocurement.gov.gr</w:t>
        </w:r>
      </w:hyperlink>
      <w:r w:rsidRPr="00072E76">
        <w:t xml:space="preserve">. Επίσης το υποσύστημα αυτό είναι </w:t>
      </w:r>
      <w:proofErr w:type="spellStart"/>
      <w:r w:rsidRPr="00072E76">
        <w:t>προσβάσιμο</w:t>
      </w:r>
      <w:proofErr w:type="spellEnd"/>
      <w:r w:rsidRPr="00072E76">
        <w:t xml:space="preserve"> μέσω του σχετικού συνδέσμου «</w:t>
      </w:r>
      <w:proofErr w:type="spellStart"/>
      <w:r w:rsidRPr="00072E76">
        <w:t>PromitheusESPDint</w:t>
      </w:r>
      <w:proofErr w:type="spellEnd"/>
      <w:r w:rsidRPr="00072E76">
        <w:t>» στην αρχική σελίδα της Διαδικτυακή Πύλης «Προμηθεύς» (</w:t>
      </w:r>
      <w:hyperlink r:id="rId20" w:tgtFrame="_blank" w:history="1">
        <w:r w:rsidRPr="00072E76">
          <w:t>www.promitheus.gov.gr</w:t>
        </w:r>
      </w:hyperlink>
      <w:r w:rsidRPr="00072E76">
        <w:t>)</w:t>
      </w:r>
    </w:p>
    <w:p w:rsidR="00072E76" w:rsidRPr="00072E76" w:rsidRDefault="00072E76" w:rsidP="00072E76">
      <w:r w:rsidRPr="00072E76">
        <w:t>Επισημαίνεται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IV έχουν απαλειφθεί.</w:t>
      </w:r>
    </w:p>
    <w:p w:rsidR="00072E76" w:rsidRPr="00072E76" w:rsidRDefault="00072E76" w:rsidP="00072E76"/>
    <w:p w:rsidR="00072E76" w:rsidRPr="00072E76" w:rsidRDefault="00072E76" w:rsidP="00072E76">
      <w:r w:rsidRPr="00072E76">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072E76" w:rsidRPr="00072E76" w:rsidRDefault="00072E76" w:rsidP="00072E76">
      <w:r w:rsidRPr="00072E76">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072E76" w:rsidRPr="00072E76" w:rsidRDefault="00072E76" w:rsidP="00072E76">
      <w:r w:rsidRPr="00072E76">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w:t>
      </w:r>
      <w:r w:rsidRPr="00072E76">
        <w:lastRenderedPageBreak/>
        <w:t>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072E76" w:rsidRPr="00072E76" w:rsidRDefault="00072E76" w:rsidP="00072E76">
      <w:bookmarkStart w:id="42" w:name="_Hlk506564265"/>
      <w:r w:rsidRPr="00072E76">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bookmarkEnd w:id="42"/>
      <w:r w:rsidRPr="00072E76">
        <w:t>.</w:t>
      </w:r>
    </w:p>
    <w:p w:rsidR="00072E76" w:rsidRPr="00072E76" w:rsidRDefault="00072E76" w:rsidP="00072E76">
      <w:bookmarkStart w:id="43" w:name="_Hlk506564275"/>
      <w:r w:rsidRPr="00072E76">
        <w:t xml:space="preserve">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w:t>
      </w:r>
    </w:p>
    <w:p w:rsidR="00072E76" w:rsidRPr="00072E76" w:rsidRDefault="00072E76" w:rsidP="00072E76">
      <w:r w:rsidRPr="00072E76">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072E76" w:rsidRPr="00072E76" w:rsidRDefault="00072E76" w:rsidP="00072E76">
      <w:r w:rsidRPr="00072E76">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072E76">
        <w:t>περ</w:t>
      </w:r>
      <w:proofErr w:type="spellEnd"/>
      <w:r w:rsidRPr="00072E76">
        <w:t>. γ της παραγράφου 2.2.3.3 της παρούσης, αναλύεται στο σχετικό πεδίο που προβάλλει κατόπιν θετικής απάντησης.</w:t>
      </w:r>
    </w:p>
    <w:p w:rsidR="00072E76" w:rsidRPr="00072E76" w:rsidRDefault="00072E76" w:rsidP="00072E76">
      <w:r w:rsidRPr="00072E76">
        <w:t>Όσον αφορά στις υποχρεώσεις του ως προς την καταβολή φόρων ή εισφορών κοινωνικής ασφάλισης (</w:t>
      </w:r>
      <w:proofErr w:type="spellStart"/>
      <w:r w:rsidRPr="00072E76">
        <w:t>περ</w:t>
      </w:r>
      <w:proofErr w:type="spellEnd"/>
      <w:r w:rsidRPr="00072E76">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bookmarkEnd w:id="43"/>
    <w:p w:rsidR="00072E76" w:rsidRPr="00072E76" w:rsidRDefault="00072E76" w:rsidP="00072E76">
      <w:r w:rsidRPr="00072E76">
        <w:t>2.2.9.2</w:t>
      </w:r>
      <w:r w:rsidRPr="00072E76">
        <w:tab/>
        <w:t>Αποδεικτικά μέσα</w:t>
      </w:r>
    </w:p>
    <w:p w:rsidR="00072E76" w:rsidRPr="00072E76" w:rsidRDefault="00072E76" w:rsidP="00072E76">
      <w:r w:rsidRPr="00072E76">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072E76" w:rsidRPr="00072E76" w:rsidRDefault="00072E76" w:rsidP="00072E76">
      <w:r w:rsidRPr="00072E76">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072E76" w:rsidRPr="00072E76" w:rsidRDefault="00072E76" w:rsidP="00072E76">
      <w:r w:rsidRPr="00072E76">
        <w:t xml:space="preserve">Οι οικονομικοί φορείς δεν υποχρεούνται να υποβάλουν δικαιολογητικά, όταν η Αναθέτουσα </w:t>
      </w:r>
      <w:proofErr w:type="spellStart"/>
      <w:r w:rsidRPr="00072E76">
        <w:t>Αρχήπου</w:t>
      </w:r>
      <w:proofErr w:type="spellEnd"/>
      <w:r w:rsidRPr="00072E76">
        <w:t xml:space="preserve"> έχει αναθέσει τη σύμβαση διαθέτει ήδη τα ως άνω δικαιολογητικά και αυτά εξακολουθούν να ισχύουν .</w:t>
      </w:r>
    </w:p>
    <w:p w:rsidR="00072E76" w:rsidRPr="00072E76" w:rsidRDefault="00072E76" w:rsidP="00072E76">
      <w:r w:rsidRPr="00072E76">
        <w:t>Τα δικαιολογητικά του παρόντος υποβάλλονται και γίνονται αποδεκτά σύμφωνα με την παράγραφο 2.4.2.5. και 3.2 της παρούσας.</w:t>
      </w:r>
    </w:p>
    <w:p w:rsidR="00072E76" w:rsidRPr="00072E76" w:rsidRDefault="00072E76" w:rsidP="00072E76">
      <w:r w:rsidRPr="00072E76">
        <w:lastRenderedPageBreak/>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072E76" w:rsidRPr="00072E76" w:rsidRDefault="00072E76" w:rsidP="00072E76">
      <w:r w:rsidRPr="00072E76">
        <w:t>B.1 Για την απόδειξη της μη συνδρομής των λόγων αποκλεισμού της παραγράφου 2.2.3 οι προσφέροντες οικονομικοί φορείς προσκομίζουν αντίστοιχα δικαιολογητικά που αναφέρονται παρακάτω.</w:t>
      </w:r>
    </w:p>
    <w:p w:rsidR="00072E76" w:rsidRPr="00072E76" w:rsidRDefault="00072E76" w:rsidP="00072E76">
      <w:r w:rsidRPr="00072E76">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rsidR="00072E76" w:rsidRPr="00072E76" w:rsidRDefault="00072E76" w:rsidP="00072E76">
      <w:r w:rsidRPr="00072E76">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072E76">
        <w:t>περ</w:t>
      </w:r>
      <w:proofErr w:type="spellEnd"/>
      <w:r w:rsidRPr="00072E76">
        <w:t xml:space="preserve">. α’ και β, καθώς και στην </w:t>
      </w:r>
      <w:proofErr w:type="spellStart"/>
      <w:r w:rsidRPr="00072E76">
        <w:t>περ</w:t>
      </w:r>
      <w:proofErr w:type="spellEnd"/>
      <w:r w:rsidRPr="00072E76">
        <w:t xml:space="preserve">. </w:t>
      </w:r>
      <w:proofErr w:type="spellStart"/>
      <w:r w:rsidRPr="00072E76">
        <w:t>β΄</w:t>
      </w:r>
      <w:proofErr w:type="spellEnd"/>
      <w:r w:rsidRPr="00072E76">
        <w:t xml:space="preserve"> της παραγράφου 2.2.3.3,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072E76">
        <w:t>περ</w:t>
      </w:r>
      <w:proofErr w:type="spellEnd"/>
      <w:r w:rsidRPr="00072E76">
        <w:t xml:space="preserve">. α’ και β,, καθώς και στην </w:t>
      </w:r>
      <w:proofErr w:type="spellStart"/>
      <w:r w:rsidRPr="00072E76">
        <w:t>περ</w:t>
      </w:r>
      <w:proofErr w:type="spellEnd"/>
      <w:r w:rsidRPr="00072E76">
        <w:t xml:space="preserve">. </w:t>
      </w:r>
      <w:proofErr w:type="spellStart"/>
      <w:r w:rsidRPr="00072E76">
        <w:t>β΄</w:t>
      </w:r>
      <w:proofErr w:type="spellEnd"/>
      <w:r w:rsidRPr="00072E76">
        <w:t xml:space="preserve"> της παραγράφου 2.2.3.3. Οι επίσημες δηλώσεις καθίστανται διαθέσιμες μέσω του </w:t>
      </w:r>
      <w:proofErr w:type="spellStart"/>
      <w:r w:rsidRPr="00072E76">
        <w:t>επιγραμμικού</w:t>
      </w:r>
      <w:proofErr w:type="spellEnd"/>
      <w:r w:rsidRPr="00072E76">
        <w:t xml:space="preserve"> αποθετηρίου πιστοποιητικών (e-</w:t>
      </w:r>
      <w:proofErr w:type="spellStart"/>
      <w:r w:rsidRPr="00072E76">
        <w:t>Certi</w:t>
      </w:r>
      <w:proofErr w:type="spellEnd"/>
      <w:r w:rsidRPr="00072E76">
        <w:t>s) του άρθρου 81 του ν. 4412/2016.</w:t>
      </w:r>
    </w:p>
    <w:p w:rsidR="00072E76" w:rsidRPr="00072E76" w:rsidRDefault="00072E76" w:rsidP="00072E76">
      <w:r w:rsidRPr="00072E76">
        <w:t>Ειδικότερα οι οικονομικοί φορείς προσκομίζουν:</w:t>
      </w:r>
    </w:p>
    <w:p w:rsidR="00072E76" w:rsidRPr="00072E76" w:rsidRDefault="00072E76" w:rsidP="00072E76">
      <w:r w:rsidRPr="00072E76">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072E76" w:rsidRPr="00072E76" w:rsidRDefault="00072E76" w:rsidP="00072E76">
      <w:r w:rsidRPr="00072E76">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72E76" w:rsidRPr="00072E76" w:rsidRDefault="00072E76" w:rsidP="00072E76">
      <w:r w:rsidRPr="00072E76">
        <w:t xml:space="preserve">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072E76" w:rsidRPr="00072E76" w:rsidRDefault="00072E76" w:rsidP="00072E76">
      <w:r w:rsidRPr="00072E76">
        <w:t>Ιδίως οι οικονομικοί φορείς που είναι εγκατεστημένοι στην Ελλάδα προσκομίζουν:</w:t>
      </w:r>
    </w:p>
    <w:p w:rsidR="00072E76" w:rsidRPr="00072E76" w:rsidRDefault="00072E76" w:rsidP="00072E76">
      <w:r w:rsidRPr="00072E76">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072E76" w:rsidRPr="00072E76" w:rsidRDefault="00072E76" w:rsidP="00072E76">
      <w:r w:rsidRPr="00072E76">
        <w:t>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w:t>
      </w:r>
    </w:p>
    <w:p w:rsidR="00072E76" w:rsidRPr="00072E76" w:rsidRDefault="00072E76" w:rsidP="00072E76">
      <w:r w:rsidRPr="00072E76">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072E76" w:rsidRPr="00072E76" w:rsidRDefault="00072E76" w:rsidP="00072E76">
      <w:r w:rsidRPr="00072E76">
        <w:t xml:space="preserve">γ) για την παράγραφο 2.2.3.4  περίπτωση </w:t>
      </w:r>
      <w:proofErr w:type="spellStart"/>
      <w:r w:rsidRPr="00072E76">
        <w:t>β΄</w:t>
      </w:r>
      <w:proofErr w:type="spellEnd"/>
      <w:r w:rsidRPr="00072E76">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072E76" w:rsidRPr="00072E76" w:rsidRDefault="00072E76" w:rsidP="00072E76">
      <w:r w:rsidRPr="00072E76">
        <w:lastRenderedPageBreak/>
        <w:t>Ιδίως οι οικονομικοί φορείς που είναι εγκατεστημένοι στην Ελλάδα προσκομίζουν:</w:t>
      </w:r>
    </w:p>
    <w:p w:rsidR="00072E76" w:rsidRPr="00072E76" w:rsidRDefault="00072E76" w:rsidP="00072E76">
      <w:r w:rsidRPr="00072E76">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072E76" w:rsidRPr="00072E76" w:rsidRDefault="00072E76" w:rsidP="00072E76">
      <w:r w:rsidRPr="00072E76">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072E76" w:rsidRPr="00072E76" w:rsidRDefault="00072E76" w:rsidP="00072E76">
      <w:r w:rsidRPr="00072E76">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072E76">
        <w:t>taxisnet</w:t>
      </w:r>
      <w:proofErr w:type="spellEnd"/>
      <w:r w:rsidRPr="00072E76">
        <w:t>, από την οποία να προκύπτει η μη αναστολή της επιχειρηματικής δραστηριότητάς τους.</w:t>
      </w:r>
    </w:p>
    <w:p w:rsidR="00072E76" w:rsidRPr="00072E76" w:rsidRDefault="00072E76" w:rsidP="00072E76">
      <w:r w:rsidRPr="00072E76">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072E76" w:rsidRPr="00072E76" w:rsidRDefault="00072E76" w:rsidP="00072E76">
      <w:r w:rsidRPr="00072E76">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072E76" w:rsidRPr="00072E76" w:rsidRDefault="00072E76" w:rsidP="00072E76">
      <w:r w:rsidRPr="00072E76">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072E76" w:rsidRPr="00072E76" w:rsidRDefault="00072E76" w:rsidP="00072E76">
      <w:r w:rsidRPr="00072E76">
        <w:t xml:space="preserve">στ) για την παράγραφο 2.2.3.5 δικαιολογητικά ονομαστικοποίησης των μετοχών ,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(πλην των περιπτώσεων που αναφέρθηκαν στην παρ. 2.2.3.5 της παρούσας ανωτέρω). </w:t>
      </w:r>
    </w:p>
    <w:p w:rsidR="00072E76" w:rsidRPr="00072E76" w:rsidRDefault="00072E76" w:rsidP="00072E76">
      <w:r w:rsidRPr="00072E76">
        <w:t>Συγκεκριμένα, προσκομίζονται:</w:t>
      </w:r>
    </w:p>
    <w:p w:rsidR="00072E76" w:rsidRPr="00072E76" w:rsidRDefault="00072E76" w:rsidP="00072E76">
      <w:r w:rsidRPr="00072E76">
        <w:t xml:space="preserve">i) Για την απόδειξη της εξαίρεσης από την υποχρέωση ονομαστικοποίησης των μετοχών τους κατά την </w:t>
      </w:r>
      <w:proofErr w:type="spellStart"/>
      <w:r w:rsidRPr="00072E76">
        <w:t>περ</w:t>
      </w:r>
      <w:proofErr w:type="spellEnd"/>
      <w:r w:rsidRPr="00072E76">
        <w:t xml:space="preserve">. α) της παραγράφου 2.2.3.5 βεβαίωση του αρμοδίου Χρηματιστηρίου. </w:t>
      </w:r>
    </w:p>
    <w:p w:rsidR="00072E76" w:rsidRPr="00072E76" w:rsidRDefault="00072E76" w:rsidP="00072E76">
      <w:r w:rsidRPr="00072E76">
        <w:t xml:space="preserve">ii) Όσον αφορά την εξαίρεση της </w:t>
      </w:r>
      <w:proofErr w:type="spellStart"/>
      <w:r w:rsidRPr="00072E76">
        <w:t>περ</w:t>
      </w:r>
      <w:proofErr w:type="spellEnd"/>
      <w:r w:rsidRPr="00072E76">
        <w:t>.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rsidR="00072E76" w:rsidRPr="00072E76" w:rsidRDefault="00072E76" w:rsidP="00072E76">
      <w:r w:rsidRPr="00072E76">
        <w:t>iii) Δικαιολογητικά ονομαστικοποίησης μετοχών του προσωρινού αναδόχου:</w:t>
      </w:r>
    </w:p>
    <w:p w:rsidR="00072E76" w:rsidRPr="00072E76" w:rsidRDefault="00072E76" w:rsidP="00072E76">
      <w:r w:rsidRPr="00072E76">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rsidR="00072E76" w:rsidRPr="00072E76" w:rsidRDefault="00072E76" w:rsidP="00072E76">
      <w:r w:rsidRPr="00072E76">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072E76" w:rsidRPr="00072E76" w:rsidRDefault="00072E76" w:rsidP="00072E76">
      <w:r w:rsidRPr="00072E76">
        <w:t>Ειδικότερα:</w:t>
      </w:r>
    </w:p>
    <w:p w:rsidR="00072E76" w:rsidRPr="00072E76" w:rsidRDefault="00072E76" w:rsidP="00072E76">
      <w:r w:rsidRPr="00072E76">
        <w:t xml:space="preserve">-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w:t>
      </w:r>
      <w:r w:rsidRPr="00072E76">
        <w:lastRenderedPageBreak/>
        <w:t>(μετοχολόγιο),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072E76" w:rsidRPr="00072E76" w:rsidRDefault="00072E76" w:rsidP="00072E76">
      <w:r w:rsidRPr="00072E76">
        <w:t>- Όσον αφορά στις αλλοδαπές ανώνυμες εταιρίες ή αλλοδαπά νομικά πρόσωπα που αντιστοιχούν σε ανώνυμες εταιρείες:</w:t>
      </w:r>
    </w:p>
    <w:p w:rsidR="00072E76" w:rsidRPr="00072E76" w:rsidRDefault="00072E76" w:rsidP="00072E76">
      <w:r w:rsidRPr="00072E76">
        <w:t>Α) εφόσον έχουν κατά το δίκαιο της έδρας τους ονομαστικές μετοχές,  προσκομίζουν :</w:t>
      </w:r>
    </w:p>
    <w:p w:rsidR="00072E76" w:rsidRPr="00072E76" w:rsidRDefault="00072E76" w:rsidP="00072E76">
      <w:r w:rsidRPr="00072E76">
        <w:t>i) Πιστοποιητικό αρμόδιας αρχής του κράτους της έδρας, από το οποίο να προκύπτει ότι οι μετοχές τους είναι ονομαστικές</w:t>
      </w:r>
    </w:p>
    <w:p w:rsidR="00072E76" w:rsidRPr="00072E76" w:rsidRDefault="00072E76" w:rsidP="00072E76">
      <w:r w:rsidRPr="00072E76">
        <w:t>ii)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rsidR="00072E76" w:rsidRPr="00072E76" w:rsidRDefault="00072E76" w:rsidP="00072E76">
      <w:r w:rsidRPr="00072E76">
        <w:t xml:space="preserve">iii)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072E76" w:rsidRPr="00072E76" w:rsidRDefault="00072E76" w:rsidP="00072E76">
      <w:r w:rsidRPr="00072E76">
        <w:t>Β)  εφόσον δεν έχουν υποχρέωση ονομαστικοποίησης μετοχών ή δεν προβλέπεται η ονομαστικοποίηση των μετοχών, προσκομίζουν:</w:t>
      </w:r>
    </w:p>
    <w:p w:rsidR="00072E76" w:rsidRPr="00072E76" w:rsidRDefault="00072E76" w:rsidP="00072E76">
      <w:r w:rsidRPr="00072E76">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rsidR="00072E76" w:rsidRPr="00072E76" w:rsidRDefault="00072E76" w:rsidP="00072E76">
      <w:r w:rsidRPr="00072E76">
        <w:t>ii) έγκυρη και ενημερωμένη κατάσταση προσώπων που κατέχουν τουλάχιστον 1% των μετοχών ή δικαιωμάτων ψήφου,</w:t>
      </w:r>
    </w:p>
    <w:p w:rsidR="00072E76" w:rsidRPr="00072E76" w:rsidRDefault="00072E76" w:rsidP="00072E76">
      <w:r w:rsidRPr="00072E76">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w:t>
      </w:r>
      <w:proofErr w:type="spellStart"/>
      <w:r w:rsidRPr="00072E76">
        <w:t>Αρχήδεν</w:t>
      </w:r>
      <w:proofErr w:type="spellEnd"/>
      <w:r w:rsidRPr="00072E76">
        <w:t xml:space="preserve"> διαθέτει διακριτική ευχέρεια κατά την κρίση της αιτιολογίας αυτής. </w:t>
      </w:r>
    </w:p>
    <w:p w:rsidR="00072E76" w:rsidRPr="00072E76" w:rsidRDefault="00072E76" w:rsidP="00072E76">
      <w:r w:rsidRPr="00072E76">
        <w:t xml:space="preserve">Όλα τα ανωτέρω έγγραφα πρέπει να είναι επικυρωμένα από την κατά </w:t>
      </w:r>
      <w:proofErr w:type="spellStart"/>
      <w:r w:rsidRPr="00072E76">
        <w:t>νόμον</w:t>
      </w:r>
      <w:proofErr w:type="spellEnd"/>
      <w:r w:rsidRPr="00072E76">
        <w:t xml:space="preserve"> αρμόδια αρχή του κράτους της έδρας του υποψηφίου και να συνοδεύονται από επίσημη μετάφραση στην ελληνική.</w:t>
      </w:r>
    </w:p>
    <w:p w:rsidR="00072E76" w:rsidRPr="00072E76" w:rsidRDefault="00072E76" w:rsidP="00072E76">
      <w:r w:rsidRPr="00072E76">
        <w:t>Ελλείψεις στα δικαιολογητικά ονομαστικοποίησης των μετοχών συμπληρώνονται κατά την παράγραφο 3.1.2 της παρούσας.</w:t>
      </w:r>
    </w:p>
    <w:p w:rsidR="00072E76" w:rsidRPr="00072E76" w:rsidRDefault="00072E76" w:rsidP="00072E76">
      <w:r w:rsidRPr="00072E76">
        <w:t xml:space="preserve">Η Αναθέτουσα Αρχή ελέγχει επίσης, επί ποινή απαραδέκτου της προσφοράς, εάν στη διαδικασία συμμετέχει </w:t>
      </w:r>
      <w:proofErr w:type="spellStart"/>
      <w:r w:rsidRPr="00072E76">
        <w:t>εξωχώρια</w:t>
      </w:r>
      <w:proofErr w:type="spellEnd"/>
      <w:r w:rsidRPr="00072E76">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p>
    <w:p w:rsidR="00072E76" w:rsidRPr="00072E76" w:rsidRDefault="00072E76" w:rsidP="00072E76">
      <w:r w:rsidRPr="00072E76">
        <w:t>ζ)Για την παράγραφο 2.2.3.5α, 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 (υπόδειγμα του περιεχομένου της υπεύθυνης δήλωσης περιλαμβάνεται στο Παράρτημα ΧΙΙΙ της παρούσας Διακήρυξης). Η υπεύθυνη δήλωση υπογράφεται από τον νόμιμο εκπρόσωπο του οικονομικού φορέα, σύμφωνα με τα προβλεπόμενα στο άρθρο 79Α του ν. 4412/2016</w:t>
      </w:r>
    </w:p>
    <w:p w:rsidR="00072E76" w:rsidRPr="00072E76" w:rsidRDefault="00072E76" w:rsidP="00072E76">
      <w:pPr>
        <w:rPr>
          <w:rFonts w:eastAsia="Calibri"/>
        </w:rPr>
      </w:pPr>
      <w:r w:rsidRPr="00072E76">
        <w:t>B.2.</w:t>
      </w:r>
      <w:r w:rsidRPr="00072E76">
        <w:rPr>
          <w:rFonts w:eastAsia="Calibri"/>
        </w:rPr>
        <w:t xml:space="preserve">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w:t>
      </w:r>
      <w:r w:rsidRPr="00072E76">
        <w:rPr>
          <w:rFonts w:eastAsia="Calibri"/>
        </w:rPr>
        <w:lastRenderedPageBreak/>
        <w:t>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72E76" w:rsidRPr="00072E76" w:rsidRDefault="00072E76" w:rsidP="00072E76">
      <w:pPr>
        <w:rPr>
          <w:rFonts w:eastAsia="Calibri"/>
        </w:rPr>
      </w:pPr>
      <w:r w:rsidRPr="00072E76">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w:t>
      </w:r>
      <w:proofErr w:type="spellStart"/>
      <w:r w:rsidRPr="00072E76">
        <w:rPr>
          <w:rFonts w:eastAsia="Calibri"/>
        </w:rPr>
        <w:t>Επιμελητήριοή</w:t>
      </w:r>
      <w:proofErr w:type="spellEnd"/>
      <w:r w:rsidRPr="00072E76">
        <w:rPr>
          <w:rFonts w:eastAsia="Calibri"/>
        </w:rPr>
        <w:t xml:space="preserve"> πιστοποιητικό που εκδίδεται από την οικεία υπηρεσία του Γ.Ε.Μ.Η. των ως άνω Επιμελητηρίων.</w:t>
      </w:r>
    </w:p>
    <w:p w:rsidR="00072E76" w:rsidRPr="00072E76" w:rsidRDefault="00072E76" w:rsidP="00072E76">
      <w:pPr>
        <w:rPr>
          <w:rFonts w:eastAsia="Calibri"/>
        </w:rPr>
      </w:pPr>
      <w:r w:rsidRPr="00072E76">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072E76" w:rsidRPr="00072E76" w:rsidRDefault="00072E76" w:rsidP="00072E76">
      <w:r w:rsidRPr="00072E76">
        <w:t>Β.3. Για την απόδειξη της οικονομικής και χρηματοοικονομικής επάρκειας της παραγράφου 2.2.5 οι οικονομικοί φορείς προσκομίζουν:</w:t>
      </w:r>
    </w:p>
    <w:p w:rsidR="00072E76" w:rsidRPr="00072E76" w:rsidRDefault="00072E76" w:rsidP="00072E76">
      <w:r w:rsidRPr="00072E76">
        <w:t>α) τραπεζικές βεβαιώσεις. Επαρκεί ως απόδειξη πιστοληπτικής ικανότητας η δανειοληπτική ικανότητα (χρηματοδότηση και πιστοδοτήσεις) όταν ανέρχεται τουλάχιστον στο 100% της εκτιμώμενης αξίας της σύμβασης χωρίς Φ.Π.Α. και πιστοποιείται με έγγραφο τράπεζας που δηλώνει ότι συνεργάζεται με τον προσφέροντα, ποιο ποσό διατίθεται στον οικονομικό φορέα για χρηματοδότηση και πιστοδοτήσεις και ότι θα εξετάσει αίτηση του για χρηματοδότηση αν και εφόσον αναδειχθεί ανάδοχος για ποσό που ανέρχεται τουλάχιστον στο 100% της εκτιμώμενης αξίας της σύμβασης χωρίς Φ.Π.Α.,</w:t>
      </w:r>
    </w:p>
    <w:p w:rsidR="00072E76" w:rsidRPr="00072E76" w:rsidRDefault="00072E76" w:rsidP="00072E76">
      <w:r w:rsidRPr="00072E76">
        <w:t xml:space="preserve">β) ισολογισμούς ή αποσπάσματα ισολογισμών των τριών τελευταίων οικονομικών χρήσεων (έτη 2020, 2021 και 2022). </w:t>
      </w:r>
    </w:p>
    <w:p w:rsidR="00072E76" w:rsidRPr="00072E76" w:rsidRDefault="00072E76" w:rsidP="00072E76">
      <w:r w:rsidRPr="00072E76">
        <w:t xml:space="preserve">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(π.χ. δηλώσεις φορολογίας εισοδήματος, δηλώσεις Φ.Π.Α., έντυπο Ε3, έντυπο Ν, </w:t>
      </w:r>
      <w:proofErr w:type="spellStart"/>
      <w:r w:rsidRPr="00072E76">
        <w:t>κ.λ.π</w:t>
      </w:r>
      <w:proofErr w:type="spellEnd"/>
      <w:r w:rsidRPr="00072E76">
        <w:t xml:space="preserve">.).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(π.χ. δηλώσεις φορολογίας εισοδήματος, δηλώσεις Φ.Π.Α., έντυπο Ε3, έντυπο Ν </w:t>
      </w:r>
      <w:proofErr w:type="spellStart"/>
      <w:r w:rsidRPr="00072E76">
        <w:t>κ.λ.π</w:t>
      </w:r>
      <w:proofErr w:type="spellEnd"/>
      <w:r w:rsidRPr="00072E76">
        <w:t>.)  για το έτος αυτό.</w:t>
      </w:r>
    </w:p>
    <w:p w:rsidR="00072E76" w:rsidRPr="00072E76" w:rsidRDefault="00072E76" w:rsidP="00072E76">
      <w:r w:rsidRPr="00072E76">
        <w:t xml:space="preserve">Επιχειρήσεις που λειτουργούν ή ασκούν επιχειρηματική δραστηριότητα για χρονικό διάστημα που δεν επιτρέπει την έκδοση κατά νόμο ισολογισμών τριών ετών,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w:t>
      </w:r>
      <w:proofErr w:type="spellStart"/>
      <w:r w:rsidRPr="00072E76">
        <w:t>κ.λ.π</w:t>
      </w:r>
      <w:proofErr w:type="spellEnd"/>
      <w:r w:rsidRPr="00072E76">
        <w:t>.).</w:t>
      </w:r>
    </w:p>
    <w:p w:rsidR="00072E76" w:rsidRPr="00072E76" w:rsidRDefault="00072E76" w:rsidP="00072E76">
      <w:r w:rsidRPr="00072E76">
        <w:t xml:space="preserve">και </w:t>
      </w:r>
    </w:p>
    <w:p w:rsidR="00072E76" w:rsidRPr="00072E76" w:rsidRDefault="00072E76" w:rsidP="00072E76">
      <w:r w:rsidRPr="00072E76">
        <w:t xml:space="preserve">γ) πίνακα τεκμηρίωσης στον οποίο θα αναφέρονται το έτος (οικονομική χρήση), ο κύκλος εργασιών και το καθαρό αποτέλεσμα χρήσης προ Φόρων. Συγκεκριμένα, προσκομίζεται πίνακας τεκμηρίωσης, σύμφωνα </w:t>
      </w:r>
      <w:proofErr w:type="spellStart"/>
      <w:r w:rsidRPr="00072E76">
        <w:t>μετο</w:t>
      </w:r>
      <w:proofErr w:type="spellEnd"/>
      <w:r w:rsidRPr="00072E76">
        <w:t xml:space="preserve"> ακόλουθο υπόδειγμα: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334"/>
        <w:gridCol w:w="2823"/>
        <w:gridCol w:w="4821"/>
      </w:tblGrid>
      <w:tr w:rsidR="00072E76" w:rsidRPr="00072E76" w:rsidTr="00072E76">
        <w:trPr>
          <w:trHeight w:val="383"/>
        </w:trPr>
        <w:tc>
          <w:tcPr>
            <w:tcW w:w="769" w:type="dxa"/>
            <w:shd w:val="clear" w:color="auto" w:fill="auto"/>
          </w:tcPr>
          <w:p w:rsidR="00072E76" w:rsidRPr="00072E76" w:rsidRDefault="00072E76" w:rsidP="00072E76">
            <w:r w:rsidRPr="00072E76">
              <w:t>Α/Α</w:t>
            </w:r>
          </w:p>
        </w:tc>
        <w:tc>
          <w:tcPr>
            <w:tcW w:w="1334" w:type="dxa"/>
            <w:shd w:val="clear" w:color="auto" w:fill="auto"/>
          </w:tcPr>
          <w:p w:rsidR="00072E76" w:rsidRPr="00072E76" w:rsidRDefault="00072E76" w:rsidP="00072E76">
            <w:r w:rsidRPr="00072E76">
              <w:t>ΕΤΟΣ</w:t>
            </w:r>
          </w:p>
        </w:tc>
        <w:tc>
          <w:tcPr>
            <w:tcW w:w="2823" w:type="dxa"/>
            <w:shd w:val="clear" w:color="auto" w:fill="auto"/>
          </w:tcPr>
          <w:p w:rsidR="00072E76" w:rsidRPr="00072E76" w:rsidRDefault="00072E76" w:rsidP="00072E76">
            <w:r w:rsidRPr="00072E76">
              <w:t>ΚΥΚΛΟΣ ΕΡΓΑΣΙΩΝ</w:t>
            </w:r>
          </w:p>
        </w:tc>
        <w:tc>
          <w:tcPr>
            <w:tcW w:w="4821" w:type="dxa"/>
            <w:shd w:val="clear" w:color="auto" w:fill="auto"/>
          </w:tcPr>
          <w:p w:rsidR="00072E76" w:rsidRPr="00072E76" w:rsidRDefault="00072E76" w:rsidP="00072E76">
            <w:r w:rsidRPr="00072E76">
              <w:t>ΚΑΘΑΡΟ ΑΠΟΤΕΛΕΣΜΑ ΧΡΗΣΗΣ ΠΡΟ ΦΟΡΩΝ</w:t>
            </w:r>
          </w:p>
        </w:tc>
      </w:tr>
      <w:tr w:rsidR="00072E76" w:rsidRPr="00072E76" w:rsidTr="00072E76">
        <w:trPr>
          <w:trHeight w:val="383"/>
        </w:trPr>
        <w:tc>
          <w:tcPr>
            <w:tcW w:w="769" w:type="dxa"/>
            <w:shd w:val="clear" w:color="auto" w:fill="auto"/>
          </w:tcPr>
          <w:p w:rsidR="00072E76" w:rsidRPr="00072E76" w:rsidRDefault="00072E76" w:rsidP="00072E76"/>
        </w:tc>
        <w:tc>
          <w:tcPr>
            <w:tcW w:w="1334" w:type="dxa"/>
            <w:shd w:val="clear" w:color="auto" w:fill="auto"/>
          </w:tcPr>
          <w:p w:rsidR="00072E76" w:rsidRPr="00072E76" w:rsidRDefault="00072E76" w:rsidP="00072E76"/>
        </w:tc>
        <w:tc>
          <w:tcPr>
            <w:tcW w:w="2823" w:type="dxa"/>
            <w:shd w:val="clear" w:color="auto" w:fill="auto"/>
          </w:tcPr>
          <w:p w:rsidR="00072E76" w:rsidRPr="00072E76" w:rsidRDefault="00072E76" w:rsidP="00072E76"/>
        </w:tc>
        <w:tc>
          <w:tcPr>
            <w:tcW w:w="4821" w:type="dxa"/>
            <w:shd w:val="clear" w:color="auto" w:fill="auto"/>
          </w:tcPr>
          <w:p w:rsidR="00072E76" w:rsidRPr="00072E76" w:rsidRDefault="00072E76" w:rsidP="00072E76"/>
        </w:tc>
      </w:tr>
      <w:tr w:rsidR="00072E76" w:rsidRPr="00072E76" w:rsidTr="00072E76">
        <w:trPr>
          <w:trHeight w:val="383"/>
        </w:trPr>
        <w:tc>
          <w:tcPr>
            <w:tcW w:w="769" w:type="dxa"/>
            <w:shd w:val="clear" w:color="auto" w:fill="auto"/>
          </w:tcPr>
          <w:p w:rsidR="00072E76" w:rsidRPr="00072E76" w:rsidRDefault="00072E76" w:rsidP="00072E76">
            <w:r w:rsidRPr="00072E76">
              <w:t>Α/Α</w:t>
            </w:r>
          </w:p>
        </w:tc>
        <w:tc>
          <w:tcPr>
            <w:tcW w:w="1334" w:type="dxa"/>
            <w:shd w:val="clear" w:color="auto" w:fill="auto"/>
          </w:tcPr>
          <w:p w:rsidR="00072E76" w:rsidRPr="00072E76" w:rsidRDefault="00072E76" w:rsidP="00072E76">
            <w:r w:rsidRPr="00072E76">
              <w:t>ΤΡΑΠΕΖΑ</w:t>
            </w:r>
          </w:p>
        </w:tc>
        <w:tc>
          <w:tcPr>
            <w:tcW w:w="7644" w:type="dxa"/>
            <w:gridSpan w:val="2"/>
            <w:shd w:val="clear" w:color="auto" w:fill="auto"/>
          </w:tcPr>
          <w:p w:rsidR="00072E76" w:rsidRPr="00072E76" w:rsidRDefault="00072E76" w:rsidP="00072E76">
            <w:r w:rsidRPr="00072E76">
              <w:t>ΟΡΙΟ ΧΡΗΜΑΤΟΔΟΤΗΣΕΩΝ/ ΠΙΣΤΟΔΟΤΗΣΕΩΝ</w:t>
            </w:r>
          </w:p>
        </w:tc>
      </w:tr>
      <w:tr w:rsidR="00072E76" w:rsidRPr="00072E76" w:rsidTr="00072E76">
        <w:trPr>
          <w:trHeight w:val="383"/>
        </w:trPr>
        <w:tc>
          <w:tcPr>
            <w:tcW w:w="769" w:type="dxa"/>
            <w:shd w:val="clear" w:color="auto" w:fill="auto"/>
          </w:tcPr>
          <w:p w:rsidR="00072E76" w:rsidRPr="00072E76" w:rsidRDefault="00072E76" w:rsidP="00072E76"/>
        </w:tc>
        <w:tc>
          <w:tcPr>
            <w:tcW w:w="1334" w:type="dxa"/>
            <w:shd w:val="clear" w:color="auto" w:fill="auto"/>
          </w:tcPr>
          <w:p w:rsidR="00072E76" w:rsidRPr="00072E76" w:rsidRDefault="00072E76" w:rsidP="00072E76"/>
        </w:tc>
        <w:tc>
          <w:tcPr>
            <w:tcW w:w="7644" w:type="dxa"/>
            <w:gridSpan w:val="2"/>
            <w:shd w:val="clear" w:color="auto" w:fill="auto"/>
          </w:tcPr>
          <w:p w:rsidR="00072E76" w:rsidRPr="00072E76" w:rsidRDefault="00072E76" w:rsidP="00072E76"/>
        </w:tc>
      </w:tr>
    </w:tbl>
    <w:p w:rsidR="00072E76" w:rsidRPr="00072E76" w:rsidRDefault="00072E76" w:rsidP="00072E76">
      <w:r w:rsidRPr="00072E76">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072E76" w:rsidRPr="00072E76" w:rsidRDefault="00072E76" w:rsidP="00072E76">
      <w:r w:rsidRPr="00072E76">
        <w:lastRenderedPageBreak/>
        <w:t>Β.4. Για την απόδειξη της τεχνικής και επαγγελματικής ικανότητας της παραγράφου 2.2.6 οι οικονομικοί φορείς προσκομίζουν:</w:t>
      </w:r>
    </w:p>
    <w:p w:rsidR="00072E76" w:rsidRPr="00072E76" w:rsidRDefault="00072E76" w:rsidP="00072E76">
      <w:proofErr w:type="spellStart"/>
      <w:r w:rsidRPr="00072E76">
        <w:t>Bεβαιώσεις</w:t>
      </w:r>
      <w:proofErr w:type="spellEnd"/>
      <w:r w:rsidRPr="00072E76">
        <w:t xml:space="preserve"> καλής εκτέλεσης των κυρίων του έργου. Οι βεβαιώσεις θα πρέπει να αναφέρουν το συμβατικό ποσό, το πλήθος και τον τύπο των σταθμών, ανάλυση του είδους του εξοπλισμού που αυτοί περιλαμβάνουν, τον χρόνο και τον τόπο εκτέλεσης, εάν οι συμβάσεις πραγματοποιήθηκαν σύμφωνα με τους κανόνες της τέχνης, τους όρους της διακήρυξης, τους όρους της σύμβασης και εάν περατώθηκαν εμπρόθεσμα. Γίνονται αποδεκτές βεβαιώσεις εμπειρίας που καλύπτουν είτε μεμονωμένα είτε συνδυαστικά τις παραπάνω τεχνολογίες με απαραίτητη προϋπόθεση τη σαφή, ποιοτικά και ποσοτικά περιγραφή του εξοπλισμού και των τεχνολογιών σύμφωνα με τα ανωτέρω.</w:t>
      </w:r>
    </w:p>
    <w:p w:rsidR="00072E76" w:rsidRPr="00072E76" w:rsidRDefault="00072E76" w:rsidP="00072E76">
      <w:r w:rsidRPr="00072E76">
        <w:t xml:space="preserve">Ως πέρας της απαιτούμενης τριετούς εμπειρίας απόδειξης της τεχνικής και επαγγελματικής ικανότητας ορίζεται η καταληκτική ημερομηνία υποβολής προσφορών στο ΕΣΗΔΗΣ.  </w:t>
      </w:r>
    </w:p>
    <w:p w:rsidR="00072E76" w:rsidRPr="00072E76" w:rsidRDefault="00072E76" w:rsidP="00072E76">
      <w:r w:rsidRPr="00072E76">
        <w:t xml:space="preserve">Επιπλέον, προσκομίζεται πίνακας τεκμηρίωσης με τις κυριότερες εφαρμογές που εκτέλεσε επιτυχώς. Στον πίνακα αναφέρονται ο πελάτης, σύντομη περιγραφή της εφαρμογής με αναφορά σε πλήθος και τύπο σταθμών, το ποσοστό συμμετοχής στην εφαρμογή (σε περίπτωση ένωσης εταιρειών ή κοινοπραξιών), η ημερομηνία ολοκλήρωσης/ εκτέλεσης, ο αριθμός, η ημερομηνία και το ποσό της σύμβασης και η παρούσα φάση στην οποία βρίσκεται η εφαρμογή (ολοκληρωμένη επιτυχώς/ ολοκληρωμένη μερικώς/ σε παραγωγική λειτουργία). Οι πελάτες θα πρέπει να είναι, δημόσιοι ή ιδιωτικοί φορείς με αρμοδιότητα διαχείρισης δικτύων ύδρευσης. Εάν ο πελάτης είναι δημόσιος φορέας, ως αποδεικτικό στοιχείο υποβάλλεται αρμόδια βεβαίωση που συντάσσεται ή θεωρείται από την αρμόδια δημόσια αρχή. Εάν ο πελάτης είναι ιδιώτης, ως αποδεικτικό στοιχείο υποβάλλεται πιστοποιητικό που συντάσσει ο ιδιώτης. Από τα περιεχόμενα του πίνακα θα πρέπει να τεκμαίρεται η ελάχιστη απαίτηση της εμπειρίας που τίθεται ανωτέρω της παρούσας. Σε περίπτωση ανακριβών στοιχείων τηρούνται κατά Νόμο οι σχετικές </w:t>
      </w:r>
      <w:proofErr w:type="spellStart"/>
      <w:r w:rsidRPr="00072E76">
        <w:t>διατάξεις.Ο</w:t>
      </w:r>
      <w:proofErr w:type="spellEnd"/>
      <w:r w:rsidRPr="00072E76">
        <w:t xml:space="preserve"> πίνακας τεκμηρίωσης πρέπει να </w:t>
      </w:r>
      <w:proofErr w:type="spellStart"/>
      <w:r w:rsidRPr="00072E76">
        <w:t>έχειτηνεξήςμορφή</w:t>
      </w:r>
      <w:proofErr w:type="spellEnd"/>
      <w:r w:rsidRPr="00072E76">
        <w:t>:</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1236"/>
        <w:gridCol w:w="1622"/>
        <w:gridCol w:w="2042"/>
        <w:gridCol w:w="1832"/>
        <w:gridCol w:w="1539"/>
        <w:gridCol w:w="945"/>
      </w:tblGrid>
      <w:tr w:rsidR="00072E76" w:rsidRPr="00072E76" w:rsidTr="00072E76">
        <w:trPr>
          <w:trHeight w:val="686"/>
        </w:trPr>
        <w:tc>
          <w:tcPr>
            <w:tcW w:w="346" w:type="pct"/>
            <w:shd w:val="clear" w:color="auto" w:fill="auto"/>
          </w:tcPr>
          <w:p w:rsidR="00072E76" w:rsidRPr="00072E76" w:rsidRDefault="00072E76" w:rsidP="00072E76">
            <w:r w:rsidRPr="00072E76">
              <w:t>Α/Α</w:t>
            </w:r>
          </w:p>
        </w:tc>
        <w:tc>
          <w:tcPr>
            <w:tcW w:w="624" w:type="pct"/>
            <w:shd w:val="clear" w:color="auto" w:fill="auto"/>
          </w:tcPr>
          <w:p w:rsidR="00072E76" w:rsidRPr="00072E76" w:rsidRDefault="00072E76" w:rsidP="00072E76">
            <w:r w:rsidRPr="00072E76">
              <w:t>ΠΕΛΑΤΗΣ</w:t>
            </w:r>
          </w:p>
        </w:tc>
        <w:tc>
          <w:tcPr>
            <w:tcW w:w="819" w:type="pct"/>
            <w:shd w:val="clear" w:color="auto" w:fill="auto"/>
          </w:tcPr>
          <w:p w:rsidR="00072E76" w:rsidRPr="00072E76" w:rsidRDefault="00072E76" w:rsidP="00072E76">
            <w:r w:rsidRPr="00072E76">
              <w:t>ΣΥΝΤΟΜΗ ΠΕΡΙΓΡΑΦΗ ΤΗΣ ΕΦΑΡΜΟΓΉΣ (ΠΛΗΘΟΣ/ ΤΥΠΟΣ ΣΤΑΘΜΩΝ)</w:t>
            </w:r>
          </w:p>
        </w:tc>
        <w:tc>
          <w:tcPr>
            <w:tcW w:w="1031" w:type="pct"/>
            <w:shd w:val="clear" w:color="auto" w:fill="auto"/>
          </w:tcPr>
          <w:p w:rsidR="00072E76" w:rsidRPr="00072E76" w:rsidRDefault="00072E76" w:rsidP="00072E76">
            <w:r w:rsidRPr="00072E76">
              <w:t>% ΚΑΙ ΕΙΔΟΣ ΣΥΜΜΕΤΟΧΗΣ ΣΤΗΝ ΕΦΑΡΜΟΓΉ (ΟΤΑΝ ΑΦΟΡΑ ΣΕ ΕΝΩΣΕΙΣ ΕΤΑΙΡΙΩΝ / ΚΟΙΝΟΠΡΑΞΙΕΣ)</w:t>
            </w:r>
          </w:p>
        </w:tc>
        <w:tc>
          <w:tcPr>
            <w:tcW w:w="925" w:type="pct"/>
            <w:shd w:val="clear" w:color="auto" w:fill="auto"/>
          </w:tcPr>
          <w:p w:rsidR="00072E76" w:rsidRPr="00072E76" w:rsidRDefault="00072E76" w:rsidP="00072E76">
            <w:r w:rsidRPr="00072E76">
              <w:t>ΗΜΕΡΟΜΗΝΙΑ ΟΛΟΚΛΗΡΩΣΗΣ/ ΕΚΤΕΛΕΣΗΣ ΤΗΣ ΕΦΑΡΜΟΓΗΣ</w:t>
            </w:r>
          </w:p>
        </w:tc>
        <w:tc>
          <w:tcPr>
            <w:tcW w:w="777" w:type="pct"/>
            <w:shd w:val="clear" w:color="auto" w:fill="auto"/>
          </w:tcPr>
          <w:p w:rsidR="00072E76" w:rsidRPr="00072E76" w:rsidRDefault="00072E76" w:rsidP="00072E76">
            <w:r w:rsidRPr="00072E76">
              <w:t>ΑΡΙΘΜΟΣ/ ΗΜΕΡΟΜΗΝΙΑ/ ΠΟΣΟ ΣΥΜΒΑΣΗΣ</w:t>
            </w:r>
          </w:p>
        </w:tc>
        <w:tc>
          <w:tcPr>
            <w:tcW w:w="477" w:type="pct"/>
            <w:shd w:val="clear" w:color="auto" w:fill="auto"/>
          </w:tcPr>
          <w:p w:rsidR="00072E76" w:rsidRPr="00072E76" w:rsidRDefault="00072E76" w:rsidP="00072E76">
            <w:r w:rsidRPr="00072E76">
              <w:t>ΠΑΡΟΥΣΑ ΦΑΣΗ</w:t>
            </w:r>
          </w:p>
        </w:tc>
      </w:tr>
      <w:tr w:rsidR="00072E76" w:rsidRPr="00072E76" w:rsidTr="00072E76">
        <w:tc>
          <w:tcPr>
            <w:tcW w:w="346" w:type="pct"/>
            <w:shd w:val="clear" w:color="auto" w:fill="auto"/>
          </w:tcPr>
          <w:p w:rsidR="00072E76" w:rsidRPr="00072E76" w:rsidRDefault="00072E76" w:rsidP="00072E76"/>
        </w:tc>
        <w:tc>
          <w:tcPr>
            <w:tcW w:w="624" w:type="pct"/>
            <w:shd w:val="clear" w:color="auto" w:fill="auto"/>
          </w:tcPr>
          <w:p w:rsidR="00072E76" w:rsidRPr="00072E76" w:rsidRDefault="00072E76" w:rsidP="00072E76"/>
        </w:tc>
        <w:tc>
          <w:tcPr>
            <w:tcW w:w="819" w:type="pct"/>
            <w:shd w:val="clear" w:color="auto" w:fill="auto"/>
          </w:tcPr>
          <w:p w:rsidR="00072E76" w:rsidRPr="00072E76" w:rsidRDefault="00072E76" w:rsidP="00072E76"/>
        </w:tc>
        <w:tc>
          <w:tcPr>
            <w:tcW w:w="1031" w:type="pct"/>
            <w:shd w:val="clear" w:color="auto" w:fill="auto"/>
          </w:tcPr>
          <w:p w:rsidR="00072E76" w:rsidRPr="00072E76" w:rsidRDefault="00072E76" w:rsidP="00072E76"/>
        </w:tc>
        <w:tc>
          <w:tcPr>
            <w:tcW w:w="925" w:type="pct"/>
            <w:shd w:val="clear" w:color="auto" w:fill="auto"/>
          </w:tcPr>
          <w:p w:rsidR="00072E76" w:rsidRPr="00072E76" w:rsidRDefault="00072E76" w:rsidP="00072E76"/>
        </w:tc>
        <w:tc>
          <w:tcPr>
            <w:tcW w:w="777" w:type="pct"/>
            <w:shd w:val="clear" w:color="auto" w:fill="auto"/>
          </w:tcPr>
          <w:p w:rsidR="00072E76" w:rsidRPr="00072E76" w:rsidRDefault="00072E76" w:rsidP="00072E76"/>
        </w:tc>
        <w:tc>
          <w:tcPr>
            <w:tcW w:w="477" w:type="pct"/>
            <w:shd w:val="clear" w:color="auto" w:fill="auto"/>
          </w:tcPr>
          <w:p w:rsidR="00072E76" w:rsidRPr="00072E76" w:rsidRDefault="00072E76" w:rsidP="00072E76"/>
        </w:tc>
      </w:tr>
    </w:tbl>
    <w:p w:rsidR="00072E76" w:rsidRPr="00072E76" w:rsidRDefault="00072E76" w:rsidP="00072E76">
      <w:r w:rsidRPr="00072E76">
        <w:t>Μέσο ετήσιο εργατοϋπαλληλικό δυναμικό και διευθυντικά στελέχη τουλάχιστον δέκα (10) ατόμων κατά τα τελευταία τρία έτη. Ως αποδεικτικό για το μέσο ετήσιο προσωπικό του υποψηφίου και για τον αριθμό του προσωπικού του υποψηφίου προσκομίζονται αντίγραφα των μηνιαίων Αναλυτικών Περιοδικών Δηλώσεων (ΑΠΔ) για τα τελευταία τρία έτη (έτη 2020, 2021 και 2022) και Πίνακας τεκμηρίωσης του οικονομικού φορέα στον οποίο θα αναφέρονται το μέσο ετήσιο εργατοϋπαλληλικό δυναμικό και τα διευθυντικά στελέχη για κάθε έτος ξεχωριστά. Συγκεκριμένα, προσκομίζεται πίνακας τεκμηρίωσης, σύμφωνα με το ακόλουθο υπόδειγμα:</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6309"/>
      </w:tblGrid>
      <w:tr w:rsidR="00072E76" w:rsidRPr="00072E76" w:rsidTr="00072E76">
        <w:trPr>
          <w:trHeight w:val="383"/>
        </w:trPr>
        <w:tc>
          <w:tcPr>
            <w:tcW w:w="709" w:type="dxa"/>
            <w:shd w:val="clear" w:color="auto" w:fill="auto"/>
          </w:tcPr>
          <w:p w:rsidR="00072E76" w:rsidRPr="00072E76" w:rsidRDefault="00072E76" w:rsidP="00072E76">
            <w:r w:rsidRPr="00072E76">
              <w:t>Α/Α</w:t>
            </w:r>
          </w:p>
        </w:tc>
        <w:tc>
          <w:tcPr>
            <w:tcW w:w="1985" w:type="dxa"/>
            <w:shd w:val="clear" w:color="auto" w:fill="auto"/>
          </w:tcPr>
          <w:p w:rsidR="00072E76" w:rsidRPr="00072E76" w:rsidRDefault="00072E76" w:rsidP="00072E76">
            <w:r w:rsidRPr="00072E76">
              <w:t>ΕΤΟΣ</w:t>
            </w:r>
          </w:p>
        </w:tc>
        <w:tc>
          <w:tcPr>
            <w:tcW w:w="6309" w:type="dxa"/>
            <w:shd w:val="clear" w:color="auto" w:fill="auto"/>
          </w:tcPr>
          <w:p w:rsidR="00072E76" w:rsidRPr="00072E76" w:rsidRDefault="00072E76" w:rsidP="00072E76">
            <w:r w:rsidRPr="00072E76">
              <w:t xml:space="preserve">ΜΕΣΟ ΕΤΗΣΙΟ ΕΡΓΑΤΟΥΠΑΛΛΗΛΙΚΟ ΔΥΝΑΜΙΚΟ/ ΔΙΕΥΘΥΝΤΙΚΑ ΣΤΕΛΕΧΗ </w:t>
            </w:r>
          </w:p>
        </w:tc>
      </w:tr>
      <w:tr w:rsidR="00072E76" w:rsidRPr="00072E76" w:rsidTr="00072E76">
        <w:trPr>
          <w:trHeight w:val="383"/>
        </w:trPr>
        <w:tc>
          <w:tcPr>
            <w:tcW w:w="709" w:type="dxa"/>
            <w:shd w:val="clear" w:color="auto" w:fill="auto"/>
          </w:tcPr>
          <w:p w:rsidR="00072E76" w:rsidRPr="00072E76" w:rsidRDefault="00072E76" w:rsidP="00072E76"/>
        </w:tc>
        <w:tc>
          <w:tcPr>
            <w:tcW w:w="1985" w:type="dxa"/>
            <w:shd w:val="clear" w:color="auto" w:fill="auto"/>
          </w:tcPr>
          <w:p w:rsidR="00072E76" w:rsidRPr="00072E76" w:rsidRDefault="00072E76" w:rsidP="00072E76"/>
        </w:tc>
        <w:tc>
          <w:tcPr>
            <w:tcW w:w="6309" w:type="dxa"/>
            <w:shd w:val="clear" w:color="auto" w:fill="auto"/>
          </w:tcPr>
          <w:p w:rsidR="00072E76" w:rsidRPr="00072E76" w:rsidRDefault="00072E76" w:rsidP="00072E76"/>
        </w:tc>
      </w:tr>
    </w:tbl>
    <w:p w:rsidR="00072E76" w:rsidRPr="00072E76" w:rsidRDefault="00072E76" w:rsidP="00072E76"/>
    <w:p w:rsidR="00072E76" w:rsidRPr="00072E76" w:rsidRDefault="00072E76" w:rsidP="00072E76">
      <w:r w:rsidRPr="00072E76">
        <w:t xml:space="preserve">Β.5. Για την απόδειξη της συμμόρφωσής τους με πρότυπα διασφάλισης ποιότητας και πρότυπα περιβαλλοντικής </w:t>
      </w:r>
      <w:proofErr w:type="spellStart"/>
      <w:r w:rsidRPr="00072E76">
        <w:t>διαχείρισηςτης</w:t>
      </w:r>
      <w:proofErr w:type="spellEnd"/>
      <w:r w:rsidRPr="00072E76">
        <w:t xml:space="preserve"> παραγράφου 2.2.7 οι οικονομικοί φορείς προσκομίζουν : αντίγραφα των εν λόγω πιστοποιήσεων σύμφωνα με τα οριζόμενα στην εν λόγω παράγραφο και πίνακα τεκμηρίωσης στον οποίο θα αναφέρονται ο φορέας πιστοποίησης, το πρότυπο διαχείρισης, ο σκοπός/ καλυπτόμενο αντικείμενο, ο αριθμός του πιστοποιητικού, η ημερομηνία αρχικής </w:t>
      </w:r>
      <w:r w:rsidRPr="00072E76">
        <w:lastRenderedPageBreak/>
        <w:t>έκδοσης και η ημερομηνία λήξης αυτού. Συγκεκριμένα, προσκομίζεται πίνακας τεκμηρίωσης, σύμφωνα με το ακόλουθο υπόδειγμα:</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276"/>
        <w:gridCol w:w="1384"/>
        <w:gridCol w:w="1984"/>
        <w:gridCol w:w="1338"/>
        <w:gridCol w:w="1560"/>
        <w:gridCol w:w="1497"/>
      </w:tblGrid>
      <w:tr w:rsidR="00072E76" w:rsidRPr="00072E76" w:rsidTr="00072E76">
        <w:trPr>
          <w:trHeight w:val="383"/>
        </w:trPr>
        <w:tc>
          <w:tcPr>
            <w:tcW w:w="601" w:type="dxa"/>
            <w:shd w:val="clear" w:color="auto" w:fill="auto"/>
          </w:tcPr>
          <w:p w:rsidR="00072E76" w:rsidRPr="00072E76" w:rsidRDefault="00072E76" w:rsidP="00072E76">
            <w:r w:rsidRPr="00072E76">
              <w:t>Α/Α</w:t>
            </w:r>
          </w:p>
        </w:tc>
        <w:tc>
          <w:tcPr>
            <w:tcW w:w="1276" w:type="dxa"/>
            <w:shd w:val="clear" w:color="auto" w:fill="auto"/>
          </w:tcPr>
          <w:p w:rsidR="00072E76" w:rsidRPr="00072E76" w:rsidRDefault="00072E76" w:rsidP="00072E76">
            <w:r w:rsidRPr="00072E76">
              <w:t>ΦΟΡΕΑΣ ΠΙΣΤΟΠΟΙΗΣΗΣ</w:t>
            </w:r>
          </w:p>
        </w:tc>
        <w:tc>
          <w:tcPr>
            <w:tcW w:w="1384" w:type="dxa"/>
            <w:shd w:val="clear" w:color="auto" w:fill="auto"/>
          </w:tcPr>
          <w:p w:rsidR="00072E76" w:rsidRPr="00072E76" w:rsidRDefault="00072E76" w:rsidP="00072E76">
            <w:r w:rsidRPr="00072E76">
              <w:t>ΠΡΟΤΥΠΟ ΔΙΑΧΕΙΡΙΣΗΣ</w:t>
            </w:r>
          </w:p>
        </w:tc>
        <w:tc>
          <w:tcPr>
            <w:tcW w:w="1984" w:type="dxa"/>
            <w:shd w:val="clear" w:color="auto" w:fill="auto"/>
          </w:tcPr>
          <w:p w:rsidR="00072E76" w:rsidRPr="00072E76" w:rsidRDefault="00072E76" w:rsidP="00072E76">
            <w:r w:rsidRPr="00072E76">
              <w:t>ΣΚΟΠΟΣ/ ΚΑΛΥΠΤΟΜΕΝΟ ΑΝΤΙΚΕΙΜΕΝΟ</w:t>
            </w:r>
          </w:p>
        </w:tc>
        <w:tc>
          <w:tcPr>
            <w:tcW w:w="1338" w:type="dxa"/>
            <w:shd w:val="clear" w:color="auto" w:fill="auto"/>
          </w:tcPr>
          <w:p w:rsidR="00072E76" w:rsidRPr="00072E76" w:rsidRDefault="00072E76" w:rsidP="00072E76">
            <w:r w:rsidRPr="00072E76">
              <w:t>ΑΡ. ΠΙΣΤΟΠΟΙΗΤΙΚΟΥ</w:t>
            </w:r>
          </w:p>
        </w:tc>
        <w:tc>
          <w:tcPr>
            <w:tcW w:w="1560" w:type="dxa"/>
            <w:shd w:val="clear" w:color="auto" w:fill="auto"/>
          </w:tcPr>
          <w:p w:rsidR="00072E76" w:rsidRPr="00072E76" w:rsidRDefault="00072E76" w:rsidP="00072E76">
            <w:r w:rsidRPr="00072E76">
              <w:t>ΗΜΕΡΟΜΗΝΙΑ ΑΡΧΙΚΗΣ ΕΚΔΟΣΗΣ</w:t>
            </w:r>
          </w:p>
        </w:tc>
        <w:tc>
          <w:tcPr>
            <w:tcW w:w="1497" w:type="dxa"/>
            <w:shd w:val="clear" w:color="auto" w:fill="auto"/>
          </w:tcPr>
          <w:p w:rsidR="00072E76" w:rsidRPr="00072E76" w:rsidRDefault="00072E76" w:rsidP="00072E76">
            <w:r w:rsidRPr="00072E76">
              <w:t>ΗΜΕΡΟΜΗΝΙΑ ΛΗΞΗΣ</w:t>
            </w:r>
          </w:p>
        </w:tc>
      </w:tr>
      <w:tr w:rsidR="00072E76" w:rsidRPr="00072E76" w:rsidTr="00072E76">
        <w:trPr>
          <w:trHeight w:val="383"/>
        </w:trPr>
        <w:tc>
          <w:tcPr>
            <w:tcW w:w="601" w:type="dxa"/>
            <w:shd w:val="clear" w:color="auto" w:fill="auto"/>
          </w:tcPr>
          <w:p w:rsidR="00072E76" w:rsidRPr="00072E76" w:rsidRDefault="00072E76" w:rsidP="00072E76"/>
        </w:tc>
        <w:tc>
          <w:tcPr>
            <w:tcW w:w="1276" w:type="dxa"/>
            <w:shd w:val="clear" w:color="auto" w:fill="auto"/>
          </w:tcPr>
          <w:p w:rsidR="00072E76" w:rsidRPr="00072E76" w:rsidRDefault="00072E76" w:rsidP="00072E76"/>
        </w:tc>
        <w:tc>
          <w:tcPr>
            <w:tcW w:w="1384" w:type="dxa"/>
            <w:shd w:val="clear" w:color="auto" w:fill="auto"/>
          </w:tcPr>
          <w:p w:rsidR="00072E76" w:rsidRPr="00072E76" w:rsidRDefault="00072E76" w:rsidP="00072E76"/>
        </w:tc>
        <w:tc>
          <w:tcPr>
            <w:tcW w:w="1984" w:type="dxa"/>
            <w:shd w:val="clear" w:color="auto" w:fill="auto"/>
          </w:tcPr>
          <w:p w:rsidR="00072E76" w:rsidRPr="00072E76" w:rsidRDefault="00072E76" w:rsidP="00072E76"/>
        </w:tc>
        <w:tc>
          <w:tcPr>
            <w:tcW w:w="1338" w:type="dxa"/>
            <w:shd w:val="clear" w:color="auto" w:fill="auto"/>
          </w:tcPr>
          <w:p w:rsidR="00072E76" w:rsidRPr="00072E76" w:rsidRDefault="00072E76" w:rsidP="00072E76"/>
        </w:tc>
        <w:tc>
          <w:tcPr>
            <w:tcW w:w="1560" w:type="dxa"/>
            <w:shd w:val="clear" w:color="auto" w:fill="auto"/>
          </w:tcPr>
          <w:p w:rsidR="00072E76" w:rsidRPr="00072E76" w:rsidRDefault="00072E76" w:rsidP="00072E76"/>
        </w:tc>
        <w:tc>
          <w:tcPr>
            <w:tcW w:w="1497" w:type="dxa"/>
            <w:shd w:val="clear" w:color="auto" w:fill="auto"/>
          </w:tcPr>
          <w:p w:rsidR="00072E76" w:rsidRPr="00072E76" w:rsidRDefault="00072E76" w:rsidP="00072E76"/>
        </w:tc>
      </w:tr>
    </w:tbl>
    <w:p w:rsidR="00072E76" w:rsidRPr="00072E76" w:rsidRDefault="00072E76" w:rsidP="00072E76"/>
    <w:p w:rsidR="00072E76" w:rsidRPr="00072E76" w:rsidRDefault="00072E76" w:rsidP="00072E76">
      <w:r w:rsidRPr="00072E76">
        <w:t>Β.6.Για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072E76" w:rsidRPr="00072E76" w:rsidRDefault="00072E76" w:rsidP="00072E76">
      <w:r w:rsidRPr="00072E76">
        <w:t>Ειδικότερα για τους ημεδαπούς οικονομικούς φορείς προσκομίζονται:</w:t>
      </w:r>
    </w:p>
    <w:p w:rsidR="00072E76" w:rsidRPr="00072E76" w:rsidRDefault="00072E76" w:rsidP="00072E76">
      <w:r w:rsidRPr="00072E76">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rsidR="00072E76" w:rsidRPr="00072E76" w:rsidRDefault="00072E76" w:rsidP="00072E76">
      <w:r w:rsidRPr="00072E76">
        <w:t>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072E76" w:rsidRPr="00072E76" w:rsidRDefault="00072E76" w:rsidP="00072E76">
      <w:r w:rsidRPr="00072E76">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72E76" w:rsidRPr="00072E76" w:rsidRDefault="00072E76" w:rsidP="00072E76">
      <w:r w:rsidRPr="00072E76">
        <w:t>Σε περίπτωση που για τη διενέργεια της παρούσας διαδικασίας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072E76" w:rsidRPr="00072E76" w:rsidRDefault="00072E76" w:rsidP="00072E76">
      <w:r w:rsidRPr="00072E76">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72E76" w:rsidRPr="00072E76" w:rsidRDefault="00072E76" w:rsidP="00072E76">
      <w:r w:rsidRPr="00072E76">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072E76" w:rsidRPr="00072E76" w:rsidRDefault="00072E76" w:rsidP="00072E76">
      <w:r w:rsidRPr="00072E76">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72E76">
        <w:t>ουν</w:t>
      </w:r>
      <w:proofErr w:type="spellEnd"/>
      <w:r w:rsidRPr="00072E76">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72E76" w:rsidRPr="00072E76" w:rsidRDefault="00072E76" w:rsidP="00072E76">
      <w:r w:rsidRPr="00072E76">
        <w:t xml:space="preserve">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72E76" w:rsidRPr="00072E76" w:rsidRDefault="00072E76" w:rsidP="00072E76">
      <w:r w:rsidRPr="00072E76">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72E76" w:rsidRPr="00072E76" w:rsidRDefault="00072E76" w:rsidP="00072E76">
      <w:r w:rsidRPr="00072E76">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72E76" w:rsidRPr="00072E76" w:rsidRDefault="00072E76" w:rsidP="00072E76">
      <w:r w:rsidRPr="00072E76">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072E76">
        <w:t>υποπερ</w:t>
      </w:r>
      <w:proofErr w:type="spellEnd"/>
      <w:r w:rsidRPr="00072E76">
        <w:t xml:space="preserve">. i, ii και iii της </w:t>
      </w:r>
      <w:proofErr w:type="spellStart"/>
      <w:r w:rsidRPr="00072E76">
        <w:t>περ</w:t>
      </w:r>
      <w:proofErr w:type="spellEnd"/>
      <w:r w:rsidRPr="00072E76">
        <w:t>. β.</w:t>
      </w:r>
    </w:p>
    <w:p w:rsidR="00072E76" w:rsidRPr="00072E76" w:rsidRDefault="00072E76" w:rsidP="00072E76">
      <w:r w:rsidRPr="00072E76">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254 παρ. 2 &amp; 3 του ν. 4412/2016.</w:t>
      </w:r>
    </w:p>
    <w:p w:rsidR="00072E76" w:rsidRPr="00072E76" w:rsidRDefault="00072E76" w:rsidP="00072E76">
      <w:r w:rsidRPr="00072E76">
        <w:t>Β.9.Στην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072E76" w:rsidRPr="00072E76" w:rsidRDefault="00072E76" w:rsidP="00072E76">
      <w:r w:rsidRPr="00072E76">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w:t>
      </w:r>
    </w:p>
    <w:p w:rsidR="00072E76" w:rsidRPr="00072E76" w:rsidRDefault="00072E76" w:rsidP="00072E76">
      <w:r w:rsidRPr="00072E76">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072E76" w:rsidRPr="00072E76" w:rsidRDefault="00072E76" w:rsidP="00072E76">
      <w:r w:rsidRPr="00072E76">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072E76" w:rsidRPr="00072E76" w:rsidRDefault="00072E76" w:rsidP="00072E76">
      <w:r w:rsidRPr="00072E76">
        <w:t>Β.11. Επισημαίνεται ότι γίνονται αποδεκτές:</w:t>
      </w:r>
    </w:p>
    <w:p w:rsidR="00072E76" w:rsidRPr="00072E76" w:rsidRDefault="00072E76" w:rsidP="00072E76">
      <w:r w:rsidRPr="00072E76">
        <w:t>•</w:t>
      </w:r>
      <w:r w:rsidRPr="00072E76">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072E76" w:rsidRPr="00072E76" w:rsidRDefault="00072E76" w:rsidP="00072E76">
      <w:r w:rsidRPr="00072E76">
        <w:lastRenderedPageBreak/>
        <w:t>•</w:t>
      </w:r>
      <w:r w:rsidRPr="00072E76">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072E76" w:rsidRPr="00072E76" w:rsidRDefault="00072E76" w:rsidP="00072E76"/>
    <w:p w:rsidR="00072E76" w:rsidRPr="00072E76" w:rsidRDefault="00072E76" w:rsidP="00072E76">
      <w:bookmarkStart w:id="44" w:name="__RefHeading___Toc470009798"/>
      <w:r w:rsidRPr="00072E76">
        <w:t>2.3</w:t>
      </w:r>
      <w:r w:rsidRPr="00072E76">
        <w:tab/>
        <w:t>Κριτήρια Ανάθεσης</w:t>
      </w:r>
      <w:bookmarkEnd w:id="44"/>
    </w:p>
    <w:p w:rsidR="00072E76" w:rsidRPr="00072E76" w:rsidRDefault="00072E76" w:rsidP="00072E76">
      <w:bookmarkStart w:id="45" w:name="__RefHeading___Toc470009799"/>
      <w:r w:rsidRPr="00072E76">
        <w:t>2.3.1</w:t>
      </w:r>
      <w:r w:rsidRPr="00072E76">
        <w:tab/>
        <w:t>Κριτήριο ανάθεσης</w:t>
      </w:r>
      <w:bookmarkEnd w:id="45"/>
    </w:p>
    <w:p w:rsidR="00072E76" w:rsidRPr="00072E76" w:rsidRDefault="00072E76" w:rsidP="00072E76">
      <w:r w:rsidRPr="00072E76">
        <w:t xml:space="preserve">Κριτήριο ανάθεσης της Σύμβασης είναι η πλέον συμφέρουσα από οικονομική άποψη προσφορά βάσει βέλτιστης σχέσης ποιότητας – τιμής με συντελεστή βαρύτητας τόσο για την τεχνική όσο και για την οικονομική προσφορά, η οποία εκτιμάται βάσει των κάτωθι κριτηρίων: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510"/>
        <w:gridCol w:w="2268"/>
      </w:tblGrid>
      <w:tr w:rsidR="00072E76" w:rsidRPr="00072E76" w:rsidTr="00072E76">
        <w:trPr>
          <w:trHeight w:hRule="exact" w:val="669"/>
        </w:trPr>
        <w:tc>
          <w:tcPr>
            <w:tcW w:w="828" w:type="dxa"/>
            <w:shd w:val="clear" w:color="auto" w:fill="auto"/>
          </w:tcPr>
          <w:p w:rsidR="00072E76" w:rsidRPr="00072E76" w:rsidRDefault="00072E76" w:rsidP="00072E76">
            <w:r w:rsidRPr="00072E76">
              <w:t>Α/Α</w:t>
            </w:r>
          </w:p>
        </w:tc>
        <w:tc>
          <w:tcPr>
            <w:tcW w:w="6510" w:type="dxa"/>
            <w:shd w:val="clear" w:color="auto" w:fill="auto"/>
          </w:tcPr>
          <w:p w:rsidR="00072E76" w:rsidRPr="00072E76" w:rsidRDefault="00072E76" w:rsidP="00072E76">
            <w:r w:rsidRPr="00072E76">
              <w:t>ΠΕΡΙΓΡΑΦΗ ΚΡΙΤΗΡΙΟΥ</w:t>
            </w:r>
          </w:p>
        </w:tc>
        <w:tc>
          <w:tcPr>
            <w:tcW w:w="2268" w:type="dxa"/>
            <w:shd w:val="clear" w:color="auto" w:fill="auto"/>
          </w:tcPr>
          <w:p w:rsidR="00072E76" w:rsidRPr="00072E76" w:rsidRDefault="00072E76" w:rsidP="00072E76">
            <w:r w:rsidRPr="00072E76">
              <w:t>ΣΥΝΤΕΛΕΣΤΗΣ ΒΑΡΥΤΗΤΑΣ (σ)</w:t>
            </w:r>
          </w:p>
        </w:tc>
      </w:tr>
      <w:tr w:rsidR="00072E76" w:rsidRPr="00072E76" w:rsidTr="00072E76">
        <w:trPr>
          <w:trHeight w:hRule="exact" w:val="363"/>
        </w:trPr>
        <w:tc>
          <w:tcPr>
            <w:tcW w:w="828" w:type="dxa"/>
            <w:shd w:val="clear" w:color="auto" w:fill="auto"/>
          </w:tcPr>
          <w:p w:rsidR="00072E76" w:rsidRPr="00072E76" w:rsidRDefault="00072E76" w:rsidP="00072E76">
            <w:r w:rsidRPr="00072E76">
              <w:t>1</w:t>
            </w:r>
          </w:p>
        </w:tc>
        <w:tc>
          <w:tcPr>
            <w:tcW w:w="6510" w:type="dxa"/>
            <w:shd w:val="clear" w:color="auto" w:fill="auto"/>
          </w:tcPr>
          <w:p w:rsidR="00072E76" w:rsidRPr="00072E76" w:rsidRDefault="00072E76" w:rsidP="00072E76">
            <w:r w:rsidRPr="00072E76">
              <w:t>Τεχνική Προσφορά</w:t>
            </w:r>
          </w:p>
        </w:tc>
        <w:tc>
          <w:tcPr>
            <w:tcW w:w="2268" w:type="dxa"/>
            <w:shd w:val="clear" w:color="auto" w:fill="auto"/>
          </w:tcPr>
          <w:p w:rsidR="00072E76" w:rsidRPr="00072E76" w:rsidRDefault="00072E76" w:rsidP="00072E76">
            <w:r w:rsidRPr="00072E76">
              <w:t>70%</w:t>
            </w:r>
          </w:p>
        </w:tc>
      </w:tr>
      <w:tr w:rsidR="00072E76" w:rsidRPr="00072E76" w:rsidTr="00072E76">
        <w:trPr>
          <w:trHeight w:hRule="exact" w:val="621"/>
        </w:trPr>
        <w:tc>
          <w:tcPr>
            <w:tcW w:w="828" w:type="dxa"/>
            <w:shd w:val="clear" w:color="auto" w:fill="auto"/>
          </w:tcPr>
          <w:p w:rsidR="00072E76" w:rsidRPr="00072E76" w:rsidRDefault="00072E76" w:rsidP="00072E76">
            <w:r w:rsidRPr="00072E76">
              <w:t>2</w:t>
            </w:r>
          </w:p>
        </w:tc>
        <w:tc>
          <w:tcPr>
            <w:tcW w:w="6510" w:type="dxa"/>
            <w:shd w:val="clear" w:color="auto" w:fill="auto"/>
          </w:tcPr>
          <w:p w:rsidR="00072E76" w:rsidRPr="00072E76" w:rsidRDefault="00072E76" w:rsidP="00072E76">
            <w:r w:rsidRPr="00072E76">
              <w:t>Οικονομική Προσφορά</w:t>
            </w:r>
          </w:p>
        </w:tc>
        <w:tc>
          <w:tcPr>
            <w:tcW w:w="2268" w:type="dxa"/>
            <w:shd w:val="clear" w:color="auto" w:fill="auto"/>
          </w:tcPr>
          <w:p w:rsidR="00072E76" w:rsidRPr="00072E76" w:rsidRDefault="00072E76" w:rsidP="00072E76">
            <w:r w:rsidRPr="00072E76">
              <w:t>30%</w:t>
            </w:r>
          </w:p>
        </w:tc>
      </w:tr>
    </w:tbl>
    <w:p w:rsidR="00072E76" w:rsidRPr="00072E76" w:rsidRDefault="00072E76" w:rsidP="00072E76">
      <w:r w:rsidRPr="00072E76">
        <w:t xml:space="preserve">Ειδικότερα η Τεχνική Προσφορά υποδιαιρείται στα ακόλουθα κριτήρια Κ1 και Κ2: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510"/>
        <w:gridCol w:w="2268"/>
      </w:tblGrid>
      <w:tr w:rsidR="00072E76" w:rsidRPr="00072E76" w:rsidTr="00072E76">
        <w:trPr>
          <w:trHeight w:hRule="exact" w:val="669"/>
        </w:trPr>
        <w:tc>
          <w:tcPr>
            <w:tcW w:w="828" w:type="dxa"/>
            <w:shd w:val="clear" w:color="auto" w:fill="auto"/>
          </w:tcPr>
          <w:p w:rsidR="00072E76" w:rsidRPr="00072E76" w:rsidRDefault="00072E76" w:rsidP="00072E76">
            <w:r w:rsidRPr="00072E76">
              <w:t>Α/Α</w:t>
            </w:r>
          </w:p>
        </w:tc>
        <w:tc>
          <w:tcPr>
            <w:tcW w:w="6510" w:type="dxa"/>
            <w:shd w:val="clear" w:color="auto" w:fill="auto"/>
          </w:tcPr>
          <w:p w:rsidR="00072E76" w:rsidRPr="00072E76" w:rsidRDefault="00072E76" w:rsidP="00072E76">
            <w:r w:rsidRPr="00072E76">
              <w:t>ΠΕΡΙΓΡΑΦΗ ΚΡΙΤΗΡΙΟΥ</w:t>
            </w:r>
          </w:p>
        </w:tc>
        <w:tc>
          <w:tcPr>
            <w:tcW w:w="2268" w:type="dxa"/>
            <w:shd w:val="clear" w:color="auto" w:fill="auto"/>
          </w:tcPr>
          <w:p w:rsidR="00072E76" w:rsidRPr="00072E76" w:rsidRDefault="00072E76" w:rsidP="00072E76">
            <w:r w:rsidRPr="00072E76">
              <w:t>ΣΥΝΤΕΛΕΣΤΗΣ ΒΑΡΥΤΗΤΑΣ (σ)</w:t>
            </w:r>
          </w:p>
        </w:tc>
      </w:tr>
      <w:tr w:rsidR="00072E76" w:rsidRPr="00072E76" w:rsidTr="00072E76">
        <w:trPr>
          <w:trHeight w:hRule="exact" w:val="363"/>
        </w:trPr>
        <w:tc>
          <w:tcPr>
            <w:tcW w:w="828" w:type="dxa"/>
            <w:shd w:val="clear" w:color="auto" w:fill="auto"/>
          </w:tcPr>
          <w:p w:rsidR="00072E76" w:rsidRPr="00072E76" w:rsidRDefault="00072E76" w:rsidP="00072E76">
            <w:r w:rsidRPr="00072E76">
              <w:t>Κ1</w:t>
            </w:r>
          </w:p>
        </w:tc>
        <w:tc>
          <w:tcPr>
            <w:tcW w:w="6510" w:type="dxa"/>
            <w:shd w:val="clear" w:color="auto" w:fill="auto"/>
          </w:tcPr>
          <w:p w:rsidR="00072E76" w:rsidRPr="00072E76" w:rsidRDefault="00072E76" w:rsidP="00072E76">
            <w:r w:rsidRPr="00072E76">
              <w:t>Τεχνικά στοιχεία προσφοράς</w:t>
            </w:r>
          </w:p>
        </w:tc>
        <w:tc>
          <w:tcPr>
            <w:tcW w:w="2268" w:type="dxa"/>
            <w:shd w:val="clear" w:color="auto" w:fill="auto"/>
          </w:tcPr>
          <w:p w:rsidR="00072E76" w:rsidRPr="00072E76" w:rsidRDefault="00072E76" w:rsidP="00072E76">
            <w:r w:rsidRPr="00072E76">
              <w:t>90%</w:t>
            </w:r>
          </w:p>
        </w:tc>
      </w:tr>
      <w:tr w:rsidR="00072E76" w:rsidRPr="00072E76" w:rsidTr="00072E76">
        <w:trPr>
          <w:trHeight w:hRule="exact" w:val="811"/>
        </w:trPr>
        <w:tc>
          <w:tcPr>
            <w:tcW w:w="828" w:type="dxa"/>
            <w:shd w:val="clear" w:color="auto" w:fill="auto"/>
          </w:tcPr>
          <w:p w:rsidR="00072E76" w:rsidRPr="00072E76" w:rsidRDefault="00072E76" w:rsidP="00072E76">
            <w:r w:rsidRPr="00072E76">
              <w:t>Κ2</w:t>
            </w:r>
          </w:p>
        </w:tc>
        <w:tc>
          <w:tcPr>
            <w:tcW w:w="6510" w:type="dxa"/>
            <w:shd w:val="clear" w:color="auto" w:fill="auto"/>
          </w:tcPr>
          <w:p w:rsidR="00072E76" w:rsidRPr="00072E76" w:rsidRDefault="00072E76" w:rsidP="00072E76">
            <w:r w:rsidRPr="00072E76">
              <w:t>Εκπαίδευση προσωπικού, Εγγύηση - Συντήρηση - Υποστήριξη, Χρόνος Παράδοσης</w:t>
            </w:r>
          </w:p>
        </w:tc>
        <w:tc>
          <w:tcPr>
            <w:tcW w:w="2268" w:type="dxa"/>
            <w:shd w:val="clear" w:color="auto" w:fill="auto"/>
          </w:tcPr>
          <w:p w:rsidR="00072E76" w:rsidRPr="00072E76" w:rsidRDefault="00072E76" w:rsidP="00072E76">
            <w:r w:rsidRPr="00072E76">
              <w:t>10%</w:t>
            </w:r>
          </w:p>
        </w:tc>
      </w:tr>
    </w:tbl>
    <w:p w:rsidR="00072E76" w:rsidRPr="00072E76" w:rsidRDefault="00072E76" w:rsidP="00072E76"/>
    <w:p w:rsidR="00072E76" w:rsidRPr="00072E76" w:rsidRDefault="00072E76" w:rsidP="00072E76">
      <w:r w:rsidRPr="00072E76">
        <w:t>Πιο συγκεκριμένα, το Κριτήριο  Ανάθεσης Κ1, εξετάζει τη συμφωνία των προσφερόμενων υλικών με τις τεχνικές προδιαγραφές, όπως αυτές καθορίζονται στα συμβατικά τεύχη και το Κριτήριο Ανάθεσης Κ2, εξετάζει την επάρκεια της παρεχόμενης εκπαίδευσης, εγγύησης, συντήρησης και το χρονοδιάγραμμα παραδόσεων και αναλύονται στα επιμέρους στοιχεία, σύμφωνα με τον παρακάτω πίνακα:</w:t>
      </w:r>
    </w:p>
    <w:tbl>
      <w:tblPr>
        <w:tblW w:w="9634" w:type="dxa"/>
        <w:tblInd w:w="113" w:type="dxa"/>
        <w:tblLook w:val="04A0"/>
      </w:tblPr>
      <w:tblGrid>
        <w:gridCol w:w="960"/>
        <w:gridCol w:w="6265"/>
        <w:gridCol w:w="2409"/>
      </w:tblGrid>
      <w:tr w:rsidR="00072E76" w:rsidRPr="00072E76" w:rsidTr="00072E76">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Α/Α</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rsidR="00072E76" w:rsidRPr="00072E76" w:rsidRDefault="00072E76" w:rsidP="00072E76">
            <w:r w:rsidRPr="00072E76">
              <w:t>ΠΕΡΙΓΡΑΦΗ</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72E76" w:rsidRPr="00072E76" w:rsidRDefault="00072E76" w:rsidP="00072E76">
            <w:r w:rsidRPr="00072E76">
              <w:t>ΣΥΝΤΕΛΕΣΤΗΣ ΒΑΡΥΤΗΤΑΣ (σ)</w:t>
            </w:r>
          </w:p>
        </w:tc>
      </w:tr>
      <w:tr w:rsidR="00072E76" w:rsidRPr="00072E76" w:rsidTr="00072E76">
        <w:trPr>
          <w:trHeight w:val="26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Κ.1.1</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Πίνακας αυτοματισμού</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w:t>
            </w:r>
          </w:p>
        </w:tc>
      </w:tr>
      <w:tr w:rsidR="00072E76" w:rsidRPr="00072E76" w:rsidTr="00072E76">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Κ.1.2</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Προγραμματιζόμενος λογικός ελεγκτής (PLC)/ διάταξη επικοινωνίας</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w:t>
            </w:r>
          </w:p>
        </w:tc>
      </w:tr>
      <w:tr w:rsidR="00072E76" w:rsidRPr="00072E76" w:rsidTr="00072E76">
        <w:trPr>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Κ.1.3</w:t>
            </w:r>
          </w:p>
        </w:tc>
        <w:tc>
          <w:tcPr>
            <w:tcW w:w="6265" w:type="dxa"/>
            <w:tcBorders>
              <w:top w:val="nil"/>
              <w:left w:val="nil"/>
              <w:bottom w:val="single" w:sz="4" w:space="0" w:color="auto"/>
              <w:right w:val="single" w:sz="4" w:space="0" w:color="auto"/>
            </w:tcBorders>
            <w:shd w:val="clear" w:color="auto" w:fill="auto"/>
            <w:vAlign w:val="center"/>
          </w:tcPr>
          <w:p w:rsidR="00072E76" w:rsidRPr="00072E76" w:rsidRDefault="00072E76" w:rsidP="00072E76">
            <w:proofErr w:type="spellStart"/>
            <w:r w:rsidRPr="00072E76">
              <w:t>Ρυθμιστήςστροφών</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5%</w:t>
            </w:r>
          </w:p>
        </w:tc>
      </w:tr>
      <w:tr w:rsidR="00072E76" w:rsidRPr="00072E76" w:rsidTr="00072E76">
        <w:trPr>
          <w:trHeight w:val="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Κ.1.4</w:t>
            </w:r>
          </w:p>
        </w:tc>
        <w:tc>
          <w:tcPr>
            <w:tcW w:w="6265" w:type="dxa"/>
            <w:tcBorders>
              <w:top w:val="nil"/>
              <w:left w:val="nil"/>
              <w:bottom w:val="single" w:sz="4" w:space="0" w:color="auto"/>
              <w:right w:val="single" w:sz="4" w:space="0" w:color="auto"/>
            </w:tcBorders>
            <w:shd w:val="clear" w:color="auto" w:fill="auto"/>
            <w:vAlign w:val="center"/>
          </w:tcPr>
          <w:p w:rsidR="00072E76" w:rsidRPr="00072E76" w:rsidRDefault="00072E76" w:rsidP="00072E76">
            <w:r w:rsidRPr="00072E76">
              <w:t xml:space="preserve">Μετρητές </w:t>
            </w:r>
            <w:proofErr w:type="spellStart"/>
            <w:r w:rsidRPr="00072E76">
              <w:t>παορχής</w:t>
            </w:r>
            <w:proofErr w:type="spellEnd"/>
            <w:r w:rsidRPr="00072E76">
              <w:t xml:space="preserve"> – πίεσης – στάθμης - ενέργειας</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w:t>
            </w:r>
          </w:p>
        </w:tc>
      </w:tr>
      <w:tr w:rsidR="00072E76" w:rsidRPr="00072E76" w:rsidTr="00072E76">
        <w:trPr>
          <w:trHeight w:val="67"/>
        </w:trPr>
        <w:tc>
          <w:tcPr>
            <w:tcW w:w="960" w:type="dxa"/>
            <w:tcBorders>
              <w:top w:val="nil"/>
              <w:left w:val="single" w:sz="4" w:space="0" w:color="auto"/>
              <w:bottom w:val="single" w:sz="4" w:space="0" w:color="auto"/>
              <w:right w:val="single" w:sz="4" w:space="0" w:color="auto"/>
            </w:tcBorders>
            <w:shd w:val="clear" w:color="auto" w:fill="auto"/>
            <w:vAlign w:val="center"/>
          </w:tcPr>
          <w:p w:rsidR="00072E76" w:rsidRPr="00072E76" w:rsidRDefault="00072E76" w:rsidP="00072E76">
            <w:r w:rsidRPr="00072E76">
              <w:t>Κ.1.5</w:t>
            </w:r>
          </w:p>
        </w:tc>
        <w:tc>
          <w:tcPr>
            <w:tcW w:w="6265" w:type="dxa"/>
            <w:tcBorders>
              <w:top w:val="nil"/>
              <w:left w:val="nil"/>
              <w:bottom w:val="single" w:sz="4" w:space="0" w:color="auto"/>
              <w:right w:val="single" w:sz="4" w:space="0" w:color="auto"/>
            </w:tcBorders>
            <w:shd w:val="clear" w:color="auto" w:fill="auto"/>
            <w:vAlign w:val="center"/>
          </w:tcPr>
          <w:p w:rsidR="00072E76" w:rsidRPr="00072E76" w:rsidRDefault="00072E76" w:rsidP="00072E76">
            <w:r w:rsidRPr="00072E76">
              <w:t>Υδραυλικός εξοπλισμός</w:t>
            </w:r>
          </w:p>
        </w:tc>
        <w:tc>
          <w:tcPr>
            <w:tcW w:w="2409" w:type="dxa"/>
            <w:tcBorders>
              <w:top w:val="nil"/>
              <w:left w:val="nil"/>
              <w:bottom w:val="single" w:sz="4" w:space="0" w:color="auto"/>
              <w:right w:val="single" w:sz="4" w:space="0" w:color="auto"/>
            </w:tcBorders>
            <w:shd w:val="clear" w:color="auto" w:fill="auto"/>
            <w:vAlign w:val="center"/>
          </w:tcPr>
          <w:p w:rsidR="00072E76" w:rsidRPr="00072E76" w:rsidRDefault="00072E76" w:rsidP="00072E76">
            <w:r w:rsidRPr="00072E76">
              <w:t>5%</w:t>
            </w:r>
          </w:p>
        </w:tc>
      </w:tr>
      <w:tr w:rsidR="00072E76" w:rsidRPr="00072E76" w:rsidTr="00072E76">
        <w:trPr>
          <w:trHeight w:val="67"/>
        </w:trPr>
        <w:tc>
          <w:tcPr>
            <w:tcW w:w="960" w:type="dxa"/>
            <w:tcBorders>
              <w:top w:val="nil"/>
              <w:left w:val="single" w:sz="4" w:space="0" w:color="auto"/>
              <w:bottom w:val="single" w:sz="4" w:space="0" w:color="auto"/>
              <w:right w:val="single" w:sz="4" w:space="0" w:color="auto"/>
            </w:tcBorders>
            <w:shd w:val="clear" w:color="auto" w:fill="auto"/>
            <w:vAlign w:val="center"/>
          </w:tcPr>
          <w:p w:rsidR="00072E76" w:rsidRPr="00072E76" w:rsidRDefault="00072E76" w:rsidP="00072E76">
            <w:r w:rsidRPr="00072E76">
              <w:t>Κ.1.6</w:t>
            </w:r>
          </w:p>
        </w:tc>
        <w:tc>
          <w:tcPr>
            <w:tcW w:w="6265" w:type="dxa"/>
            <w:tcBorders>
              <w:top w:val="nil"/>
              <w:left w:val="nil"/>
              <w:bottom w:val="single" w:sz="4" w:space="0" w:color="auto"/>
              <w:right w:val="single" w:sz="4" w:space="0" w:color="auto"/>
            </w:tcBorders>
            <w:shd w:val="clear" w:color="auto" w:fill="auto"/>
            <w:vAlign w:val="center"/>
          </w:tcPr>
          <w:p w:rsidR="00072E76" w:rsidRPr="00072E76" w:rsidRDefault="00072E76" w:rsidP="00072E76">
            <w:r w:rsidRPr="00072E76">
              <w:t xml:space="preserve">Υδροληψία/ </w:t>
            </w:r>
            <w:proofErr w:type="spellStart"/>
            <w:r w:rsidRPr="00072E76">
              <w:t>συγκεντρωτήςδεδομένων</w:t>
            </w:r>
            <w:proofErr w:type="spellEnd"/>
          </w:p>
        </w:tc>
        <w:tc>
          <w:tcPr>
            <w:tcW w:w="2409" w:type="dxa"/>
            <w:tcBorders>
              <w:top w:val="nil"/>
              <w:left w:val="nil"/>
              <w:bottom w:val="single" w:sz="4" w:space="0" w:color="auto"/>
              <w:right w:val="single" w:sz="4" w:space="0" w:color="auto"/>
            </w:tcBorders>
            <w:shd w:val="clear" w:color="auto" w:fill="auto"/>
            <w:vAlign w:val="center"/>
          </w:tcPr>
          <w:p w:rsidR="00072E76" w:rsidRPr="00072E76" w:rsidRDefault="00072E76" w:rsidP="00072E76">
            <w:r w:rsidRPr="00072E76">
              <w:t>20%</w:t>
            </w:r>
          </w:p>
        </w:tc>
      </w:tr>
      <w:tr w:rsidR="00072E76" w:rsidRPr="00072E76" w:rsidTr="00072E76">
        <w:trPr>
          <w:trHeight w:val="67"/>
        </w:trPr>
        <w:tc>
          <w:tcPr>
            <w:tcW w:w="960" w:type="dxa"/>
            <w:tcBorders>
              <w:top w:val="nil"/>
              <w:left w:val="single" w:sz="4" w:space="0" w:color="auto"/>
              <w:bottom w:val="single" w:sz="4" w:space="0" w:color="auto"/>
              <w:right w:val="single" w:sz="4" w:space="0" w:color="auto"/>
            </w:tcBorders>
            <w:shd w:val="clear" w:color="auto" w:fill="auto"/>
            <w:vAlign w:val="center"/>
          </w:tcPr>
          <w:p w:rsidR="00072E76" w:rsidRPr="00072E76" w:rsidRDefault="00072E76" w:rsidP="00072E76">
            <w:r w:rsidRPr="00072E76">
              <w:t>Κ.1.7</w:t>
            </w:r>
          </w:p>
        </w:tc>
        <w:tc>
          <w:tcPr>
            <w:tcW w:w="6265" w:type="dxa"/>
            <w:tcBorders>
              <w:top w:val="nil"/>
              <w:left w:val="nil"/>
              <w:bottom w:val="single" w:sz="4" w:space="0" w:color="auto"/>
              <w:right w:val="single" w:sz="4" w:space="0" w:color="auto"/>
            </w:tcBorders>
            <w:shd w:val="clear" w:color="auto" w:fill="auto"/>
            <w:vAlign w:val="center"/>
          </w:tcPr>
          <w:p w:rsidR="00072E76" w:rsidRPr="00072E76" w:rsidRDefault="00072E76" w:rsidP="00072E76">
            <w:proofErr w:type="spellStart"/>
            <w:r w:rsidRPr="00072E76">
              <w:t>Μετεωρολογικόςσταθμός</w:t>
            </w:r>
            <w:proofErr w:type="spellEnd"/>
          </w:p>
        </w:tc>
        <w:tc>
          <w:tcPr>
            <w:tcW w:w="2409" w:type="dxa"/>
            <w:tcBorders>
              <w:top w:val="nil"/>
              <w:left w:val="nil"/>
              <w:bottom w:val="single" w:sz="4" w:space="0" w:color="auto"/>
              <w:right w:val="single" w:sz="4" w:space="0" w:color="auto"/>
            </w:tcBorders>
            <w:shd w:val="clear" w:color="auto" w:fill="auto"/>
            <w:vAlign w:val="center"/>
          </w:tcPr>
          <w:p w:rsidR="00072E76" w:rsidRPr="00072E76" w:rsidRDefault="00072E76" w:rsidP="00072E76">
            <w:r w:rsidRPr="00072E76">
              <w:t>10%</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tcPr>
          <w:p w:rsidR="00072E76" w:rsidRPr="00072E76" w:rsidRDefault="00072E76" w:rsidP="00072E76">
            <w:r w:rsidRPr="00072E76">
              <w:t>Κ.1.8</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Φορητοί Σταθμοί Ελέγχου (Φ.Σ.Ε.)</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tcPr>
          <w:p w:rsidR="00072E76" w:rsidRPr="00072E76" w:rsidRDefault="00072E76" w:rsidP="00072E76">
            <w:r w:rsidRPr="00072E76">
              <w:t>Κ.1.9</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Κεντρικός Σταθμός Ελέγχου (Κ.Σ.Ε.)</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 Κ1</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ΑΘΡΟΙΣΜΑ ΣΥΝΤΕΛΕΣΤΩΝ ΒΑΡΥΤΗΤΑΣ Κ1</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90%</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Κ2.1</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Δοκιμαστική Λειτουργία - Συντήρηση - Υποστήριξη</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4%</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Κ2.2</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Εκπαίδευση - Τεκμηρίωση</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4%</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Κ2.3</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Χρόνος Παράδοσης</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2%</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 Κ2</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ΑΘΡΟΙΣΜΑ ΣΥΝΤΕΛΕΣΤΩΝ ΒΑΡΥΤΗΤΑΣ Κ2</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w:t>
            </w:r>
          </w:p>
        </w:tc>
      </w:tr>
      <w:tr w:rsidR="00072E76" w:rsidRPr="00072E76" w:rsidTr="00072E76">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2E76" w:rsidRPr="00072E76" w:rsidRDefault="00072E76" w:rsidP="00072E76">
            <w:r w:rsidRPr="00072E76">
              <w:t> </w:t>
            </w:r>
          </w:p>
        </w:tc>
        <w:tc>
          <w:tcPr>
            <w:tcW w:w="6265"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 xml:space="preserve">ΑΘΡΟΙΣΜΑ ΣΥΝΟΛΟΥ ΣΥΝΤΕΛΕΣΤΩΝ ΒΑΡΥΤΗΤΑΣ </w:t>
            </w:r>
          </w:p>
        </w:tc>
        <w:tc>
          <w:tcPr>
            <w:tcW w:w="2409" w:type="dxa"/>
            <w:tcBorders>
              <w:top w:val="nil"/>
              <w:left w:val="nil"/>
              <w:bottom w:val="single" w:sz="4" w:space="0" w:color="auto"/>
              <w:right w:val="single" w:sz="4" w:space="0" w:color="auto"/>
            </w:tcBorders>
            <w:shd w:val="clear" w:color="auto" w:fill="auto"/>
            <w:vAlign w:val="center"/>
            <w:hideMark/>
          </w:tcPr>
          <w:p w:rsidR="00072E76" w:rsidRPr="00072E76" w:rsidRDefault="00072E76" w:rsidP="00072E76">
            <w:r w:rsidRPr="00072E76">
              <w:t>100%</w:t>
            </w:r>
          </w:p>
        </w:tc>
      </w:tr>
    </w:tbl>
    <w:p w:rsidR="00072E76" w:rsidRPr="00072E76" w:rsidRDefault="00072E76" w:rsidP="00072E76"/>
    <w:p w:rsidR="00072E76" w:rsidRPr="00072E76" w:rsidRDefault="00072E76" w:rsidP="00072E76">
      <w:r w:rsidRPr="00072E76">
        <w:lastRenderedPageBreak/>
        <w:t xml:space="preserve">Η επάρκεια της εκπαίδευσης θα βαθμολογηθεί ανάλογα με το προτεινόμενο από τον οικονομικό φορέα χρονοπρόγραμμα (πλήθος ωρών), το πλήθος εκπαιδευομένων και το περιεχόμενο εκπαίδευσης σε σχέση με την κάλυψη των αναγκών για λειτουργία και συντήρηση του προσφερόμενου συστήματος από το προσωπικό της Υπηρεσίας, την προσφερόμενη τεκμηρίωση και τα οριζόμενα στη σχετική παράγραφο του τεύχους των τεχνικών προδιαγραφών. </w:t>
      </w:r>
    </w:p>
    <w:p w:rsidR="00072E76" w:rsidRPr="00072E76" w:rsidRDefault="00072E76" w:rsidP="00072E76">
      <w:r w:rsidRPr="00072E76">
        <w:t xml:space="preserve">Η επάρκεια των υπηρεσιών Εγγύησης, Συντήρησης και Υποστήριξης θα βαθμολογηθεί ανάλογα με τους προτεινόμενους χρόνους, την περιοδικότητα, το επίπεδο παροχής υπηρεσιών και τον παρεχόμενο χρόνο εγγύησης καλής λειτουργίας, η οποία χρονικά ορίζεται κατ’ ελάχιστον σε 12 μήνες μετά την περίοδο δοκιμαστικής λειτουργίας, καθώς και την διαδικασία που θα ακολουθήσει το προσωπικό του προμηθευτή για την αποκατάσταση βλαβών, τεχνική υποστήριξη των προγραμμάτων, των λογισμικών εφαρμογής, </w:t>
      </w:r>
      <w:proofErr w:type="spellStart"/>
      <w:r w:rsidRPr="00072E76">
        <w:t>κ.λ.π</w:t>
      </w:r>
      <w:proofErr w:type="spellEnd"/>
      <w:r w:rsidRPr="00072E76">
        <w:t>. ώστε το προσφερόμενο σύστημα να λειτουργεί εύρυθμα σύμφωνα με τις προδιαγραφές κατασκευής του και αξιόπιστα σύμφωνα και με τα οριζόμενα στη σχετική παράγραφο του τεύχους των τεχνικών προδιαγραφών.</w:t>
      </w:r>
    </w:p>
    <w:p w:rsidR="00072E76" w:rsidRPr="00072E76" w:rsidRDefault="00072E76" w:rsidP="00072E76">
      <w:r w:rsidRPr="00072E76">
        <w:t>Ο χρόνος παράδοσης θα βαθμολογηθεί ανάλογα με τον προτεινόμενο χρόνο ολοκλήρωσης της προμήθειας/ εγκατάσταση ο οποίος σε κάθε περίπτωση δεν θα πρέπει να υπερβαίνει τον οριζόμενος το άρθρο 1.3 της παρούσας.</w:t>
      </w:r>
    </w:p>
    <w:p w:rsidR="00072E76" w:rsidRPr="00072E76" w:rsidRDefault="00072E76" w:rsidP="00072E76"/>
    <w:p w:rsidR="00072E76" w:rsidRPr="00072E76" w:rsidRDefault="00072E76" w:rsidP="00072E76">
      <w:bookmarkStart w:id="46" w:name="__RefHeading___Toc470009800"/>
      <w:bookmarkEnd w:id="46"/>
      <w:r w:rsidRPr="00072E76">
        <w:t>2.3.2</w:t>
      </w:r>
      <w:r w:rsidRPr="00072E76">
        <w:tab/>
        <w:t xml:space="preserve">Βαθμολόγηση και κατάταξη προσφορών </w:t>
      </w:r>
    </w:p>
    <w:p w:rsidR="00072E76" w:rsidRPr="00072E76" w:rsidRDefault="00072E76" w:rsidP="00072E76">
      <w:r w:rsidRPr="00072E76">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p>
    <w:p w:rsidR="00072E76" w:rsidRPr="00072E76" w:rsidRDefault="00072E76" w:rsidP="00072E76">
      <w:r w:rsidRPr="00072E76">
        <w:t>Κάθε κριτήριο αξιολόγησης βαθμολογείται αυτόνομα με βάση τα στοιχεία της προσφοράς. Η βαθμολόγηση θα είναι πλήρως και ειδικά αιτιολογημένη και θα περιλαμβάνει υποχρεωτικά, εκτός από τη βαθμολογία και τη λεκτική διατύπωση της κρίσης ανά κριτήριο.</w:t>
      </w:r>
    </w:p>
    <w:p w:rsidR="00072E76" w:rsidRPr="00072E76" w:rsidRDefault="00072E76" w:rsidP="00072E76">
      <w:r w:rsidRPr="00072E76">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072E76" w:rsidRPr="00072E76" w:rsidRDefault="00072E76" w:rsidP="00072E76">
      <w:r w:rsidRPr="00072E76">
        <w:t xml:space="preserve">Η συνολική βαθμολογία της τεχνικής προσφοράς υπολογίζεται με βάση τον παρακάτω τύπο : </w:t>
      </w:r>
    </w:p>
    <w:p w:rsidR="00072E76" w:rsidRPr="00072E76" w:rsidRDefault="00072E76" w:rsidP="00072E76">
      <w:r w:rsidRPr="00072E76">
        <w:t>U = σ1.1xΚ1.1 + ….. + σ1.9xΚ1.9 + σ2.1xΚ2.1 +……+σ2.3xΚ2.3</w:t>
      </w:r>
    </w:p>
    <w:p w:rsidR="00072E76" w:rsidRPr="00072E76" w:rsidRDefault="00072E76" w:rsidP="00072E76">
      <w:r w:rsidRPr="00072E76">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072E76" w:rsidRPr="00072E76" w:rsidRDefault="00072E76" w:rsidP="00072E76">
      <w:r w:rsidRPr="00072E76">
        <w:t>Πλέον συμφέρουσα από οικονομική άποψη προσφορά είναι εκείνη που παρουσιάζει το μεγαλύτερο τελικό βαθμό αξιολόγησης (ΤΒΑ)ο οποίος υπολογίζεται με βάση τον παρακάτω τύπο:</w:t>
      </w:r>
    </w:p>
    <w:p w:rsidR="00072E76" w:rsidRPr="00072E76" w:rsidRDefault="00072E76" w:rsidP="00072E76">
      <w:r w:rsidRPr="00072E76">
        <w:t>ΤΒΑ = 0,7 X (ΣΤΠ) / (</w:t>
      </w:r>
      <w:proofErr w:type="spellStart"/>
      <w:r w:rsidRPr="00072E76">
        <w:t>maxΣΤΠ</w:t>
      </w:r>
      <w:proofErr w:type="spellEnd"/>
      <w:r w:rsidRPr="00072E76">
        <w:t>) + 0,3 X (</w:t>
      </w:r>
      <w:proofErr w:type="spellStart"/>
      <w:r w:rsidRPr="00072E76">
        <w:t>minΣΟΠ</w:t>
      </w:r>
      <w:proofErr w:type="spellEnd"/>
      <w:r w:rsidRPr="00072E76">
        <w:t>) / (ΣΟΠ), όπου:</w:t>
      </w:r>
    </w:p>
    <w:p w:rsidR="00072E76" w:rsidRPr="00072E76" w:rsidRDefault="00072E76" w:rsidP="00072E76">
      <w:r w:rsidRPr="00072E76">
        <w:t>ΤΒΑ: Ο τελικός βαθμός αξιολόγησης του Οικονομικού φορέα</w:t>
      </w:r>
    </w:p>
    <w:p w:rsidR="00072E76" w:rsidRPr="00072E76" w:rsidRDefault="00072E76" w:rsidP="00072E76">
      <w:r w:rsidRPr="00072E76">
        <w:t>ΣΤΠ: Η συνολική βαθμολογία της τεχνικής προσφοράς του Οικονομικού φορέα</w:t>
      </w:r>
    </w:p>
    <w:p w:rsidR="00072E76" w:rsidRPr="00072E76" w:rsidRDefault="00072E76" w:rsidP="00072E76">
      <w:proofErr w:type="spellStart"/>
      <w:r w:rsidRPr="00072E76">
        <w:t>maxΣΤΠ</w:t>
      </w:r>
      <w:proofErr w:type="spellEnd"/>
      <w:r w:rsidRPr="00072E76">
        <w:t>: Η μέγιστη συνολική βαθμολογία της τεχνικής προσφοράς μεταξύ όλων των Οικονομικών φορέων</w:t>
      </w:r>
    </w:p>
    <w:p w:rsidR="00072E76" w:rsidRPr="00072E76" w:rsidRDefault="00072E76" w:rsidP="00072E76">
      <w:proofErr w:type="spellStart"/>
      <w:r w:rsidRPr="00072E76">
        <w:t>minΣΟΠ</w:t>
      </w:r>
      <w:proofErr w:type="spellEnd"/>
      <w:r w:rsidRPr="00072E76">
        <w:t>:  Η χαμηλότερη συνολική οικονομική προσφορά μεταξύ όλων των Οικονομικών φορέων</w:t>
      </w:r>
    </w:p>
    <w:p w:rsidR="00072E76" w:rsidRPr="00072E76" w:rsidRDefault="00072E76" w:rsidP="00072E76">
      <w:r w:rsidRPr="00072E76">
        <w:t>ΣΟΠ : Η συνολική οικονομική προσφορά του Οικονομικού φορέα</w:t>
      </w:r>
    </w:p>
    <w:p w:rsidR="00072E76" w:rsidRPr="00072E76" w:rsidRDefault="00072E76" w:rsidP="00072E76">
      <w:r w:rsidRPr="00072E76">
        <w:t>Ο βαθμός αξιολόγησης στρογγυλοποιείται στο δεύτερο (2ο) δεκαδικό ψηφίο.</w:t>
      </w:r>
    </w:p>
    <w:p w:rsidR="00072E76" w:rsidRPr="00072E76" w:rsidRDefault="00072E76" w:rsidP="00072E76">
      <w:r w:rsidRPr="00072E76">
        <w:t>Σε περίπτωση ισοβαθμίας περισσότερων προσφορών, ως πλέον συμφέρουσα προσφορά λαμβάνεται αυτή με την μεγαλύτερη βαθμολογία Τεχνικής Προσφοράς</w:t>
      </w:r>
    </w:p>
    <w:p w:rsidR="00072E76" w:rsidRPr="00072E76" w:rsidRDefault="00072E76" w:rsidP="00072E76"/>
    <w:p w:rsidR="00072E76" w:rsidRPr="00072E76" w:rsidRDefault="00072E76" w:rsidP="00072E76">
      <w:bookmarkStart w:id="47" w:name="__RefHeading___Toc470009802"/>
      <w:bookmarkEnd w:id="47"/>
      <w:r w:rsidRPr="00072E76">
        <w:t>2.4</w:t>
      </w:r>
      <w:r w:rsidRPr="00072E76">
        <w:tab/>
        <w:t>Κατάρτιση - Περιεχόμενο Προσφορών</w:t>
      </w:r>
    </w:p>
    <w:p w:rsidR="00072E76" w:rsidRPr="00072E76" w:rsidRDefault="00072E76" w:rsidP="00072E76">
      <w:bookmarkStart w:id="48" w:name="__RefHeading___Toc470009803"/>
      <w:bookmarkEnd w:id="48"/>
      <w:r w:rsidRPr="00072E76">
        <w:t>2.4.1</w:t>
      </w:r>
      <w:r w:rsidRPr="00072E76">
        <w:tab/>
        <w:t>Γενικοί όροι υποβολής προσφορών</w:t>
      </w:r>
    </w:p>
    <w:p w:rsidR="00072E76" w:rsidRPr="00072E76" w:rsidRDefault="00072E76" w:rsidP="00072E76">
      <w:r w:rsidRPr="00072E76">
        <w:t xml:space="preserve">Οι προσφορές υποβάλλονται με βάση τις απαιτήσεις που ορίζονται στη Διακήρυξη και τα λοιπά τεύχη και παραρτήματα, για το σύνολο της </w:t>
      </w:r>
      <w:proofErr w:type="spellStart"/>
      <w:r w:rsidRPr="00072E76">
        <w:t>προκηρυχθείσας</w:t>
      </w:r>
      <w:proofErr w:type="spellEnd"/>
      <w:r w:rsidRPr="00072E76">
        <w:t xml:space="preserve"> ποσότητας της προμήθειας. </w:t>
      </w:r>
    </w:p>
    <w:p w:rsidR="00072E76" w:rsidRPr="00072E76" w:rsidRDefault="00072E76" w:rsidP="00072E76">
      <w:r w:rsidRPr="00072E76">
        <w:t>Δεν επιτρέπονται εναλλακτικές προσφορές.</w:t>
      </w:r>
    </w:p>
    <w:p w:rsidR="00072E76" w:rsidRPr="00072E76" w:rsidRDefault="00072E76" w:rsidP="00072E76">
      <w:r w:rsidRPr="00072E76">
        <w:lastRenderedPageBreak/>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p>
    <w:p w:rsidR="00072E76" w:rsidRPr="00072E76" w:rsidRDefault="00072E76" w:rsidP="00072E76">
      <w:r w:rsidRPr="00072E76">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072E76" w:rsidRPr="00072E76" w:rsidRDefault="00072E76" w:rsidP="00072E76">
      <w:bookmarkStart w:id="49" w:name="__RefHeading___Toc470009804"/>
      <w:r w:rsidRPr="00072E76">
        <w:t>2.4.2</w:t>
      </w:r>
      <w:r w:rsidRPr="00072E76">
        <w:tab/>
        <w:t>Χρόνος και Τρόπος υποβολής προσφορών</w:t>
      </w:r>
      <w:bookmarkEnd w:id="49"/>
    </w:p>
    <w:p w:rsidR="00072E76" w:rsidRPr="00072E76" w:rsidRDefault="00072E76" w:rsidP="00072E76">
      <w:r w:rsidRPr="00072E76">
        <w:t xml:space="preserve">2.4.2.1. Οι προσφορές υποβάλλονται από τους ενδιαφερόμενους ηλεκτρονικά, μέσω της διαδικτυακής πύλης </w:t>
      </w:r>
      <w:hyperlink r:id="rId21" w:history="1">
        <w:r w:rsidRPr="00072E76">
          <w:t>www.promitheus.gov.gr</w:t>
        </w:r>
      </w:hyperlink>
      <w:r w:rsidRPr="00072E76">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072E76">
        <w:t>υπ΄</w:t>
      </w:r>
      <w:proofErr w:type="spellEnd"/>
      <w:r w:rsidRPr="00072E76">
        <w:t xml:space="preserve"> </w:t>
      </w:r>
      <w:proofErr w:type="spellStart"/>
      <w:r w:rsidRPr="00072E76">
        <w:t>αριθμ</w:t>
      </w:r>
      <w:proofErr w:type="spellEnd"/>
      <w:r w:rsidRPr="00072E76">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072E76" w:rsidRPr="00072E76" w:rsidRDefault="00072E76" w:rsidP="00072E76">
      <w:r w:rsidRPr="00072E76">
        <w:t xml:space="preserve">Για τη συμμετοχή στον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072E76">
        <w:t>πάροχο</w:t>
      </w:r>
      <w:proofErr w:type="spellEnd"/>
      <w:r w:rsidRPr="00072E76">
        <w:t xml:space="preserve"> υπηρεσιών πιστοποίησης, ο οποίος περιλαμβάνεται στον κατάλογο </w:t>
      </w:r>
      <w:proofErr w:type="spellStart"/>
      <w:r w:rsidRPr="00072E76">
        <w:t>εμπίστευσης</w:t>
      </w:r>
      <w:proofErr w:type="spellEnd"/>
      <w:r w:rsidRPr="00072E76">
        <w:t xml:space="preserve"> που προβλέπεται στην απόφαση 2009/767/ΕΚ και σύμφωνα με τα οριζόμενα στον Κανονισμό (ΕΕ) 910/2014 και να εγγραφούν στο ΕΣΗΔΗΣ, σύμφωνα με την </w:t>
      </w:r>
      <w:proofErr w:type="spellStart"/>
      <w:r w:rsidRPr="00072E76">
        <w:t>περ</w:t>
      </w:r>
      <w:proofErr w:type="spellEnd"/>
      <w:r w:rsidRPr="00072E76">
        <w:t>. β της παρ. 2 του άρθρου 37 του ν. 4412/2016 και τις διατάξεις του άρθρου 6 της Κ.Υ.Α. ΕΣΗΔΗΣ Προμήθειες και Υπηρεσίες..</w:t>
      </w:r>
    </w:p>
    <w:p w:rsidR="00072E76" w:rsidRPr="00072E76" w:rsidRDefault="00072E76" w:rsidP="00072E76">
      <w:r w:rsidRPr="00072E76">
        <w:t>2.4.2.2.Ο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072E76" w:rsidRPr="00072E76" w:rsidRDefault="00072E76" w:rsidP="00072E76">
      <w:r w:rsidRPr="00072E76">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072E76" w:rsidRPr="00072E76" w:rsidRDefault="00072E76" w:rsidP="00072E76">
      <w:r w:rsidRPr="00072E76">
        <w:t>2.4.2.3. Οι οικονομικοί φορείς υποβάλλουν με την προσφορά τους τα ακόλουθα σύμφωνα με τις διατάξεις του άρθρου 13 της Κ.Υ.Α. ΕΣΗΔΗΣ Προμήθειες και Υπηρεσίες:</w:t>
      </w:r>
    </w:p>
    <w:p w:rsidR="00072E76" w:rsidRPr="00072E76" w:rsidRDefault="00072E76" w:rsidP="00072E76">
      <w:r w:rsidRPr="00072E76">
        <w:t>(α) έναν ηλεκτρονικό(</w:t>
      </w:r>
      <w:proofErr w:type="spellStart"/>
      <w:r w:rsidRPr="00072E76">
        <w:t>υπο</w:t>
      </w:r>
      <w:proofErr w:type="spellEnd"/>
      <w:r w:rsidRPr="00072E76">
        <w:t>)φάκελο με την ένδειξη «Δικαιολογητικά Συμμετοχής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072E76" w:rsidRPr="00072E76" w:rsidRDefault="00072E76" w:rsidP="00072E76">
      <w:r w:rsidRPr="00072E76">
        <w:t>(β) έναν ηλεκτρονικό (</w:t>
      </w:r>
      <w:proofErr w:type="spellStart"/>
      <w:r w:rsidRPr="00072E76">
        <w:t>υπο</w:t>
      </w:r>
      <w:proofErr w:type="spellEnd"/>
      <w:r w:rsidRPr="00072E76">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072E76" w:rsidRPr="00072E76" w:rsidRDefault="00072E76" w:rsidP="00072E76">
      <w:r w:rsidRPr="00072E76">
        <w:lastRenderedPageBreak/>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072E76" w:rsidRPr="00072E76" w:rsidRDefault="00072E76" w:rsidP="00072E76">
      <w:r w:rsidRPr="00072E76">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072E76" w:rsidRPr="00072E76" w:rsidRDefault="00072E76" w:rsidP="00072E76">
      <w:r w:rsidRPr="00072E76">
        <w:t xml:space="preserve">2.4.2.4.Εφόσον οι Οικονομικοί Φορείς καταχωρίσουν τα στοιχεία, </w:t>
      </w:r>
      <w:proofErr w:type="spellStart"/>
      <w:r w:rsidRPr="00072E76">
        <w:t>μεταδεδομένα</w:t>
      </w:r>
      <w:proofErr w:type="spellEnd"/>
      <w:r w:rsidRPr="00072E76">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w:t>
      </w:r>
      <w:proofErr w:type="spellStart"/>
      <w:r w:rsidRPr="00072E76">
        <w:t>λειτουργικότητας,εξάγουν</w:t>
      </w:r>
      <w:proofErr w:type="spellEnd"/>
      <w:r w:rsidRPr="00072E76">
        <w:t xml:space="preserve"> αναφορές (εκτυπώσεις) σε μορφή ηλεκτρονικών αρχείων με </w:t>
      </w:r>
      <w:proofErr w:type="spellStart"/>
      <w:r w:rsidRPr="00072E76">
        <w:t>μορφότυπο</w:t>
      </w:r>
      <w:proofErr w:type="spellEnd"/>
      <w:r w:rsidRPr="00072E76">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072E76">
        <w:t>περ</w:t>
      </w:r>
      <w:proofErr w:type="spellEnd"/>
      <w:r w:rsidRPr="00072E76">
        <w:t xml:space="preserve">. β της παρ. 2 του άρθρου 37) και επισυνάπτονται από τον Οικονομικό Φορέα στους αντίστοιχους </w:t>
      </w:r>
      <w:proofErr w:type="spellStart"/>
      <w:r w:rsidRPr="00072E76">
        <w:t>υποφακέλους</w:t>
      </w:r>
      <w:proofErr w:type="spellEnd"/>
      <w:r w:rsidRPr="00072E76">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072E76">
        <w:t>υποφακέλο</w:t>
      </w:r>
      <w:proofErr w:type="spellEnd"/>
      <w:r w:rsidRPr="00072E76">
        <w:t xml:space="preserve"> ξεχωριστά, από τη στιγμή που έχει ολοκληρωθεί η καταχώριση των στοιχείων σε αυτόν . </w:t>
      </w:r>
    </w:p>
    <w:p w:rsidR="00072E76" w:rsidRPr="00072E76" w:rsidRDefault="00072E76" w:rsidP="00072E76">
      <w:bookmarkStart w:id="50" w:name="_Hlk71315830"/>
      <w:r w:rsidRPr="00072E76">
        <w:t>Οι τεχνικές προδιαγραφές και οι οικονομικοί όροι που δεν έχουν αποτυπωθεί στο σύνολό τους στις ειδικές ηλεκτρονικές φόρμες του ΕΣΗΔΗΣ, επισυνάπτονται ηλεκτρονικά υπογεγραμμένα πρόσθετα, σε σχέση με τις αναφορές (εκτυπώσεις) της παραγράφου 2.4.2.4, σχετικά ηλεκτρονικά αρχεία ιδίως στην  τεχνική και οικονομική προσφορά.</w:t>
      </w:r>
    </w:p>
    <w:bookmarkEnd w:id="50"/>
    <w:p w:rsidR="00072E76" w:rsidRPr="00072E76" w:rsidRDefault="00072E76" w:rsidP="00072E76">
      <w:r w:rsidRPr="00072E76">
        <w:t>2.4.2.5.Ειδικότερα, όσον αφορά τα συνημμένα ηλεκτρονικά αρχεία της προσφοράς, οι Οικονομικοί Φορείς τα καταχωρίζουν στους ανωτέρω (</w:t>
      </w:r>
      <w:proofErr w:type="spellStart"/>
      <w:r w:rsidRPr="00072E76">
        <w:t>υπο</w:t>
      </w:r>
      <w:proofErr w:type="spellEnd"/>
      <w:r w:rsidRPr="00072E76">
        <w:t>)φακέλους μέσω του Υποσυστήματος, ως εξής :</w:t>
      </w:r>
    </w:p>
    <w:p w:rsidR="00072E76" w:rsidRPr="00072E76" w:rsidRDefault="00072E76" w:rsidP="00072E76">
      <w:r w:rsidRPr="00072E76">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072E76" w:rsidRPr="00072E76" w:rsidRDefault="00072E76" w:rsidP="00072E76">
      <w:r w:rsidRPr="00072E76">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072E76">
        <w:t>Apostille</w:t>
      </w:r>
      <w:proofErr w:type="spellEnd"/>
      <w:r w:rsidRPr="00072E76">
        <w:t>,</w:t>
      </w:r>
    </w:p>
    <w:p w:rsidR="00072E76" w:rsidRPr="00072E76" w:rsidRDefault="00072E76" w:rsidP="00072E76">
      <w:r w:rsidRPr="00072E76">
        <w:t>β) είτε των άρθρων 15 και 27  του ν. 4727/2020 (Α΄ 184) περί ηλεκτρονικών ιδιωτικών εγγράφων που φέρουν ηλεκτρονική υπογραφή ή σφραγίδα,</w:t>
      </w:r>
    </w:p>
    <w:p w:rsidR="00072E76" w:rsidRPr="00072E76" w:rsidRDefault="00072E76" w:rsidP="00072E76">
      <w:r w:rsidRPr="00072E76">
        <w:t>γ) είτε του άρθρου 11 του ν. 2690/1999 (Α΄ 45),</w:t>
      </w:r>
    </w:p>
    <w:p w:rsidR="00072E76" w:rsidRPr="00072E76" w:rsidRDefault="00072E76" w:rsidP="00072E76">
      <w:r w:rsidRPr="00072E76">
        <w:t>δ) είτε της παρ. 2 του άρθρου 37 του ν. 4412/2016, περί χρήσης ηλεκτρονικών υπογραφών σε ηλεκτρονικές διαδικασίες δημοσίων συμβάσεων,</w:t>
      </w:r>
    </w:p>
    <w:p w:rsidR="00072E76" w:rsidRPr="00072E76" w:rsidRDefault="00072E76" w:rsidP="00072E76">
      <w:r w:rsidRPr="00072E76">
        <w:t xml:space="preserve">ε) είτε της παρ. 8 του άρθρου 92 του ν. 4412/2016, περί </w:t>
      </w:r>
      <w:proofErr w:type="spellStart"/>
      <w:r w:rsidRPr="00072E76">
        <w:t>συνυποβολής</w:t>
      </w:r>
      <w:proofErr w:type="spellEnd"/>
      <w:r w:rsidRPr="00072E76">
        <w:t xml:space="preserve"> υπεύθυνης δήλωσης στην περίπτωση απλής φωτοτυπίας ιδιωτικών εγγράφων. </w:t>
      </w:r>
    </w:p>
    <w:p w:rsidR="00072E76" w:rsidRPr="00072E76" w:rsidRDefault="00072E76" w:rsidP="00072E76">
      <w:r w:rsidRPr="00072E76">
        <w:t>Επιπλέον, δεν προσκομίζονται σε έντυπη μορφή τα ΦΕΚ, ενημερωτικά και τεχνικά φυλλάδια, εγχειρίδια, σχέδια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072E76" w:rsidRPr="00072E76" w:rsidRDefault="00072E76" w:rsidP="00072E76">
      <w:r w:rsidRPr="00072E76">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072E76">
        <w:t>μορφότυπο</w:t>
      </w:r>
      <w:proofErr w:type="spellEnd"/>
      <w:r w:rsidRPr="00072E76">
        <w:t xml:space="preserve"> PDF.</w:t>
      </w:r>
    </w:p>
    <w:p w:rsidR="00072E76" w:rsidRPr="00072E76" w:rsidRDefault="00072E76" w:rsidP="00072E76">
      <w:r w:rsidRPr="00072E76">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072E76">
        <w:t>ούς</w:t>
      </w:r>
      <w:proofErr w:type="spellEnd"/>
      <w:r w:rsidRPr="00072E76">
        <w:t xml:space="preserve"> φάκελο-ους, στον-ους οποίο-ους αναγράφεται ο αποστολέας και ως παραλήπτης η Επιτροπή Διαγωνισμού του </w:t>
      </w:r>
      <w:r w:rsidRPr="00072E76">
        <w:lastRenderedPageBreak/>
        <w:t>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072E76" w:rsidRPr="00072E76" w:rsidRDefault="00072E76" w:rsidP="00072E76">
      <w:r w:rsidRPr="00072E76">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072E76" w:rsidRPr="00072E76" w:rsidRDefault="00072E76" w:rsidP="00072E76">
      <w:r w:rsidRPr="00072E76">
        <w:t xml:space="preserve">β) αυτά που δεν υπάγονται στις διατάξεις του άρθρου 11 παρ. 2 του ν. 2690/1999 , </w:t>
      </w:r>
    </w:p>
    <w:p w:rsidR="00072E76" w:rsidRPr="00072E76" w:rsidRDefault="00072E76" w:rsidP="00072E76">
      <w:r w:rsidRPr="00072E76">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072E76" w:rsidRPr="00072E76" w:rsidRDefault="00072E76" w:rsidP="00072E76">
      <w:r w:rsidRPr="00072E76">
        <w:t>δ) τα αλλοδαπά δημόσια έντυπα έγγραφα που φέρουν την επισημείωση της Χάγης (</w:t>
      </w:r>
      <w:proofErr w:type="spellStart"/>
      <w:r w:rsidRPr="00072E76">
        <w:t>Apostille</w:t>
      </w:r>
      <w:proofErr w:type="spellEnd"/>
      <w:r w:rsidRPr="00072E76">
        <w:t xml:space="preserve">), ή προξενική θεώρηση και δεν έχουν επικυρωθεί  από δικηγόρο . </w:t>
      </w:r>
    </w:p>
    <w:p w:rsidR="00072E76" w:rsidRPr="00072E76" w:rsidRDefault="00072E76" w:rsidP="00072E76">
      <w:r w:rsidRPr="00072E76">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072E76" w:rsidRPr="00072E76" w:rsidRDefault="00072E76" w:rsidP="00072E76">
      <w:r w:rsidRPr="00072E76">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72E76">
        <w:t>Apostille</w:t>
      </w:r>
      <w:proofErr w:type="spellEnd"/>
      <w:r w:rsidRPr="00072E76">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072E76" w:rsidRPr="00072E76" w:rsidRDefault="00072E76" w:rsidP="00072E76">
      <w:r w:rsidRPr="00072E76">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072E76">
        <w:t>περ</w:t>
      </w:r>
      <w:proofErr w:type="spellEnd"/>
      <w:r w:rsidRPr="00072E76">
        <w:t>. β του άρθρου 11 του ν. 2690/1999 “Κώδικας Διοικητικής Διαδικασίας”, όπως αντικαταστάθηκε ως άνω με το άρθρο 1 παρ.2 του ν.4250/2014.</w:t>
      </w:r>
    </w:p>
    <w:p w:rsidR="00072E76" w:rsidRPr="00072E76" w:rsidRDefault="00072E76" w:rsidP="00072E76">
      <w:r w:rsidRPr="00072E76">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072E76" w:rsidRPr="00072E76" w:rsidRDefault="00072E76" w:rsidP="00072E76">
      <w:r w:rsidRPr="00072E76">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072E76" w:rsidRPr="00072E76" w:rsidRDefault="00072E76" w:rsidP="00072E76">
      <w:r w:rsidRPr="00072E76">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072E76" w:rsidRPr="00072E76" w:rsidRDefault="00072E76" w:rsidP="00072E76">
      <w:bookmarkStart w:id="51" w:name="__RefHeading___Toc470009805"/>
      <w:r w:rsidRPr="00072E76">
        <w:lastRenderedPageBreak/>
        <w:t>2.4.3</w:t>
      </w:r>
      <w:r w:rsidRPr="00072E76">
        <w:tab/>
        <w:t>Περιεχόμενα Φακέλου «Δικαιολογητικά Συμμετοχής- Τεχνική Προσφορά»</w:t>
      </w:r>
      <w:bookmarkEnd w:id="51"/>
    </w:p>
    <w:p w:rsidR="00072E76" w:rsidRPr="00072E76" w:rsidRDefault="00072E76" w:rsidP="00072E76">
      <w:r w:rsidRPr="00072E76">
        <w:t>2.4.3.1 Δικαιολογητικά Συμμετοχής</w:t>
      </w:r>
    </w:p>
    <w:p w:rsidR="00072E76" w:rsidRPr="00072E76" w:rsidRDefault="00072E76" w:rsidP="00072E76">
      <w:r w:rsidRPr="00072E76">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στοιχεία: </w:t>
      </w:r>
    </w:p>
    <w:p w:rsidR="00072E76" w:rsidRPr="00072E76" w:rsidRDefault="00072E76" w:rsidP="00072E76">
      <w:r w:rsidRPr="00072E76">
        <w:t>α) το Ευρωπαϊκό Ενιαίο Έγγραφο Σύμβασης (Ε.Ε.Ε.Σ.), όπως προβλέπεται στην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w:t>
      </w:r>
    </w:p>
    <w:p w:rsidR="00072E76" w:rsidRPr="00072E76" w:rsidRDefault="00072E76" w:rsidP="00072E76">
      <w:r w:rsidRPr="00072E76">
        <w:t>β) την εγγύηση συμμετοχής, όπως προβλέπεται στο άρθρο72 του Ν.4412/2016 και τις παραγράφους 2.1.5 και 2.2.2 αντίστοιχα της παρούσας διακήρυξης,</w:t>
      </w:r>
    </w:p>
    <w:p w:rsidR="00072E76" w:rsidRPr="00072E76" w:rsidRDefault="00072E76" w:rsidP="00072E76">
      <w:r w:rsidRPr="00072E76">
        <w:t xml:space="preserve">γ) τα έγγραφα Τεκμηρίωσης Οικονομικής και Χρηματοοικονομικής επάρκειας (άρθρα 2.2.9.2. Β3 και 2.2.5 της παρούσας διακήρυξης), Τεχνικής και Επαγγελματικής Ικανότητας (άρθρα 2.2.9.2. Β4 και 2.2.6 της παρούσας διακήρυξης) και Προτύπων Διαχείρισης (άρθρα 2.2.9.2. Β5 και 2.2.7 της παρούσας διακήρυξης). </w:t>
      </w:r>
    </w:p>
    <w:p w:rsidR="00072E76" w:rsidRPr="00072E76" w:rsidRDefault="00072E76" w:rsidP="00072E76">
      <w:r w:rsidRPr="00072E76">
        <w:t xml:space="preserve">δ) Υπ. Δήλωση του συμμετέχοντα μέσω της οποίας αποδέχεται ότι έχει μελετήσει λεπτομερώς όλα τα στοιχεία της προμήθειας και έχει λάβει πλήρη γνώση όλων των στοιχείων της διακήρυξης καθώς και των επιτόπιων συνθηκών που αφορούν την εκτέλεση της σύμβασης </w:t>
      </w:r>
    </w:p>
    <w:p w:rsidR="00072E76" w:rsidRPr="00072E76" w:rsidRDefault="00072E76" w:rsidP="00072E76">
      <w:r w:rsidRPr="00072E76">
        <w:t>ε) Υπ. Δήλωση του συμμετέχοντα σύμφωνα με το ΠΑΡΑΡΤΗΜΑ ΧΙΙΙ της παρούσας και</w:t>
      </w:r>
    </w:p>
    <w:p w:rsidR="00072E76" w:rsidRPr="00072E76" w:rsidRDefault="00072E76" w:rsidP="00072E76">
      <w:r w:rsidRPr="00072E76">
        <w:t>στ) τη βεβαίωση γνώσης των τοπικών συνθηκών που θα χορηγηθεί από την Υπηρεσία σύμφωνα με τις απαιτήσεις του άρθρου 2.4.7 της παρούσας διακήρυξης.</w:t>
      </w:r>
    </w:p>
    <w:p w:rsidR="00072E76" w:rsidRPr="00072E76" w:rsidRDefault="00072E76" w:rsidP="00072E76">
      <w:r w:rsidRPr="00072E76">
        <w:t>Οι προσφέροντες συμπληρώνουν το σχετικό πρότυπο ΕΕΕΣ  το οποίο αποτελεί αναπόσπαστο τμήμα της παρούσας διακήρυξης ως Παράρτημα αυτής (Παράρτημα ΙΙΙ).</w:t>
      </w:r>
    </w:p>
    <w:p w:rsidR="00072E76" w:rsidRPr="00072E76" w:rsidRDefault="00072E76" w:rsidP="00072E76">
      <w:r w:rsidRPr="00072E76">
        <w:t xml:space="preserve">Η συμπλήρωσή του δύναται να πραγματοποιηθεί με χρήση του υποσυστήματος </w:t>
      </w:r>
      <w:proofErr w:type="spellStart"/>
      <w:r w:rsidRPr="00072E76">
        <w:t>PromitheusESPDint</w:t>
      </w:r>
      <w:proofErr w:type="spellEnd"/>
      <w:r w:rsidRPr="00072E76">
        <w:t xml:space="preserve">, </w:t>
      </w:r>
      <w:proofErr w:type="spellStart"/>
      <w:r w:rsidRPr="00072E76">
        <w:t>προσβάσιμου</w:t>
      </w:r>
      <w:proofErr w:type="spellEnd"/>
      <w:r w:rsidRPr="00072E76">
        <w:t xml:space="preserve"> μέσω της Διαδικτυακής Πύλης (</w:t>
      </w:r>
      <w:proofErr w:type="spellStart"/>
      <w:r w:rsidRPr="00072E76">
        <w:t>www.promitheus.gov.gr</w:t>
      </w:r>
      <w:proofErr w:type="spellEnd"/>
      <w:r w:rsidRPr="00072E76">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072E76">
        <w:t>μορφότυπο</w:t>
      </w:r>
      <w:proofErr w:type="spellEnd"/>
      <w:r w:rsidRPr="00072E76">
        <w:t xml:space="preserve"> XML που αποτελεί επικουρικό στοιχείο των εγγράφων της σύμβασης.</w:t>
      </w:r>
    </w:p>
    <w:p w:rsidR="00072E76" w:rsidRPr="00072E76" w:rsidRDefault="00072E76" w:rsidP="00072E76">
      <w:r w:rsidRPr="00072E76">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072E76">
        <w:t>μορφότυπο</w:t>
      </w:r>
      <w:proofErr w:type="spellEnd"/>
      <w:r w:rsidRPr="00072E76">
        <w:t xml:space="preserve"> PDF.</w:t>
      </w:r>
    </w:p>
    <w:p w:rsidR="00072E76" w:rsidRPr="00072E76" w:rsidRDefault="00072E76" w:rsidP="00072E76">
      <w:r w:rsidRPr="00072E76">
        <w:t>Οι ενώσεις οικονομικών φορέων που υποβάλλουν κοινή προσφορά, υποβάλλουν το ΕΕΕΣ (Παράρτημα ΙΙΙ) για κάθε οικονομικό φορέα που συμμετέχει στην ένωση.</w:t>
      </w:r>
    </w:p>
    <w:p w:rsidR="00072E76" w:rsidRPr="00072E76" w:rsidRDefault="00072E76" w:rsidP="00072E76">
      <w:r w:rsidRPr="00072E76">
        <w:t>2.4.3.2 Τεχνική Προσφορά</w:t>
      </w:r>
    </w:p>
    <w:p w:rsidR="00072E76" w:rsidRPr="00072E76" w:rsidRDefault="00072E76" w:rsidP="00072E76">
      <w:r w:rsidRPr="00072E76">
        <w:t>H τεχνική προσφορά θα πρέπει να καλύπτει όλες τις απαιτήσεις και τις προδιαγραφές που έχουν τεθεί από την αναθέτουσα αρχή στο τεύχος τεχνικών προδιαγραφών που διατίθεται ως Παράρτημα VIII της παρούσας, περιγράφοντας ακριβώς πώς οι συγκεκριμένες απαιτήσεις και προδιαγραφές πληρούνται. Περιλαμβάνει ιδίως τα έγγραφα και δικαιολογητικά που ορίζονται ρητά στο τεύχος τεχνικών προδιαγραφών,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072E76" w:rsidRPr="00072E76" w:rsidRDefault="00072E76" w:rsidP="00072E76">
      <w:r w:rsidRPr="00072E76">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072E76" w:rsidRPr="00072E76" w:rsidRDefault="00072E76" w:rsidP="00072E76">
      <w:bookmarkStart w:id="52" w:name="__RefHeading___Toc470009806"/>
      <w:bookmarkEnd w:id="52"/>
      <w:r w:rsidRPr="00072E76">
        <w:t>2.4.4</w:t>
      </w:r>
      <w:r w:rsidRPr="00072E76">
        <w:tab/>
        <w:t>Περιεχόμενα Φακέλου «Οικονομική Προσφορά»/Τρόπος σύνταξης και υποβολής οικονομικών προσφορών</w:t>
      </w:r>
    </w:p>
    <w:p w:rsidR="00072E76" w:rsidRPr="00072E76" w:rsidRDefault="00072E76" w:rsidP="00072E76">
      <w:r w:rsidRPr="00072E76">
        <w:t>Η Οικονομική Προσφορά συντάσσεται με βάση το αναγραφόμενο στην παρούσα κριτήριο ανάθεσης που είναι η πλέον συμφέρουσα από οικονομική άποψη προσφορά βάσει βέλτιστης σχέσης ποιότητας – τιμής με συντελεστή βαρύτητας σύμφωνα με την παράγραφο 2.3.1.</w:t>
      </w:r>
    </w:p>
    <w:p w:rsidR="00072E76" w:rsidRPr="00072E76" w:rsidRDefault="00072E76" w:rsidP="00072E76">
      <w:r w:rsidRPr="00072E76">
        <w:lastRenderedPageBreak/>
        <w:t xml:space="preserve">Η οικονομική προσφορά συντάσσεται συμπληρώνοντας την αντίστοιχη ηλεκτρονική πλατφόρμα του συστήματος. Στην συνέχεια το σύστημα παράγει ηλεκτρονικό αρχείο σε μορφή </w:t>
      </w:r>
      <w:proofErr w:type="spellStart"/>
      <w:r w:rsidRPr="00072E76">
        <w:t>pdf</w:t>
      </w:r>
      <w:proofErr w:type="spellEnd"/>
      <w:r w:rsidRPr="00072E76">
        <w:t xml:space="preserve">  το οποίο υπογράφεται ψηφιακά και υποβάλλεται από τον προσφέροντα.</w:t>
      </w:r>
    </w:p>
    <w:p w:rsidR="00072E76" w:rsidRPr="00072E76" w:rsidRDefault="00072E76" w:rsidP="00072E76">
      <w:r w:rsidRPr="00072E76">
        <w:t xml:space="preserve">Τα στοιχεία που περιλαμβάνονται στην ειδική ηλεκτρονική φόρμα του συστήματος και του παραγόμενου ψηφιακά υπογεγραμμένου ηλεκτρονικά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072E76">
        <w:t>pdf</w:t>
      </w:r>
      <w:proofErr w:type="spellEnd"/>
      <w:r w:rsidRPr="00072E76">
        <w:t>.</w:t>
      </w:r>
    </w:p>
    <w:p w:rsidR="00072E76" w:rsidRPr="00072E76" w:rsidRDefault="00072E76" w:rsidP="00072E76">
      <w:r w:rsidRPr="00072E76">
        <w:t xml:space="preserve">Εκτός από την Οικονομική Προσφορά που παράγεται από το σύστημα, ο συμμετέχων οικονομικός φορέας θα επισυνάψει στον (υπό)φάκελο “οικονομική προσφορά” και την οικονομική προσφορά του που θα συντάξει ο ίδιος, η οποία πρέπει να περιλαμβάνει τα έντυπα Τιμολογίου Προσφοράς και Προϋπολογισμού Προσφοράς που </w:t>
      </w:r>
      <w:proofErr w:type="spellStart"/>
      <w:r w:rsidRPr="00072E76">
        <w:t>διατίθεταιως</w:t>
      </w:r>
      <w:proofErr w:type="spellEnd"/>
      <w:r w:rsidRPr="00072E76">
        <w:t xml:space="preserve"> παραρτήματα της παρούσας. </w:t>
      </w:r>
    </w:p>
    <w:p w:rsidR="00072E76" w:rsidRPr="00072E76" w:rsidRDefault="00072E76" w:rsidP="00072E76">
      <w:r w:rsidRPr="00072E76">
        <w:t xml:space="preserve">Σε περίπτωση ασυμφωνίας μεταξύ του περιεχομένου της κατά τα ανωτέρω υποβληθείσας προσφοράς και της συνολικής τιμής που καταχωρήθηκε στην ηλεκτρονική φόρμα του συστήματος, υπερισχύει το πρώτο. </w:t>
      </w:r>
    </w:p>
    <w:p w:rsidR="00072E76" w:rsidRPr="00072E76" w:rsidRDefault="00072E76" w:rsidP="00072E76">
      <w:r w:rsidRPr="00072E76">
        <w:t xml:space="preserve">Η τιμή της προσφοράς δίνεται ανά μονάδα μέτρησης, θα είναι αποκλειστικά σε Ευρώ και θα πρέπει να αναγράφεται αριθμητικά και ολογράφως. </w:t>
      </w:r>
    </w:p>
    <w:p w:rsidR="00072E76" w:rsidRPr="00072E76" w:rsidRDefault="00072E76" w:rsidP="00072E76">
      <w:r w:rsidRPr="00072E76">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072E76" w:rsidRPr="00072E76" w:rsidRDefault="00072E76" w:rsidP="00072E76">
      <w:r w:rsidRPr="00072E76">
        <w:t>Οι υπέρ τρίτων κρατήσεις υπόκεινται στο εκάστοτε ισχύον αναλογικό τέλος χαρτοσήμου 3% και στην επ’ αυτού εισφορά υπέρ ΟΓΑ 20%.</w:t>
      </w:r>
    </w:p>
    <w:p w:rsidR="00072E76" w:rsidRPr="00072E76" w:rsidRDefault="00072E76" w:rsidP="00072E76">
      <w:r w:rsidRPr="00072E76">
        <w:t xml:space="preserve">Οι προσφερόμενες τιμές  αναπροσαρμόζονται σύμφωνα με τα αναλυτικώς οριζόμενα στην παράγραφο 6.7 της </w:t>
      </w:r>
      <w:proofErr w:type="spellStart"/>
      <w:r w:rsidRPr="00072E76">
        <w:t>παρούσας.Σημειώνεται</w:t>
      </w:r>
      <w:proofErr w:type="spellEnd"/>
      <w:r w:rsidRPr="00072E76">
        <w:t xml:space="preserve"> ότι κατισχύει των σχετικά αναφερομένων της Ε.Σ.Υ ( άρθρο 7 ν.4965/2022 ).</w:t>
      </w:r>
    </w:p>
    <w:p w:rsidR="00072E76" w:rsidRPr="00072E76" w:rsidRDefault="00072E76" w:rsidP="00072E76">
      <w:r w:rsidRPr="00072E76">
        <w:t xml:space="preserve">Ως απαράδεκτες θα απορρίπτονται προσφορές στις οποίες: </w:t>
      </w:r>
    </w:p>
    <w:p w:rsidR="00072E76" w:rsidRPr="00072E76" w:rsidRDefault="00072E76" w:rsidP="00072E76">
      <w:r w:rsidRPr="00072E76">
        <w:t xml:space="preserve">α) δεν δίνεται τιμή σε ΕΥΡΩ ή που καθορίζεται  σχέση ΕΥΡΩ προς ξένο νόμισμα, </w:t>
      </w:r>
    </w:p>
    <w:p w:rsidR="00072E76" w:rsidRPr="00072E76" w:rsidRDefault="00072E76" w:rsidP="00072E76">
      <w:r w:rsidRPr="00072E76">
        <w:t xml:space="preserve">β) δεν προκύπτει με σαφήνεια η προσφερόμενη τιμή και </w:t>
      </w:r>
    </w:p>
    <w:p w:rsidR="00072E76" w:rsidRPr="00072E76" w:rsidRDefault="00072E76" w:rsidP="00072E76">
      <w:r w:rsidRPr="00072E76">
        <w:t xml:space="preserve">γ) η τιμή υπερβαίνει τον προϋπολογισμό της σύμβασης που καθορίζεται και τεκμηριώνεται από την αναθέτουσα αρχή στο κεφάλαιο Β του Παραρτήματος Ι της παρούσας διακήρυξης. Δεν εξετάζεται τυχόν υπέρβαση των επιμέρους τιμών κατ’ άρθρο, καθώς κριτήριο ανάθεσης συνιστά η συνολική τιμή προσφοράς (προ Φ.Π.Α.).  </w:t>
      </w:r>
    </w:p>
    <w:p w:rsidR="00072E76" w:rsidRPr="00072E76" w:rsidRDefault="00072E76" w:rsidP="00072E76">
      <w:bookmarkStart w:id="53" w:name="__RefHeading___Toc470009807"/>
      <w:r w:rsidRPr="00072E76">
        <w:t>2.4.5</w:t>
      </w:r>
      <w:r w:rsidRPr="00072E76">
        <w:tab/>
        <w:t>Χρόνος ισχύος των προσφορών</w:t>
      </w:r>
      <w:bookmarkEnd w:id="53"/>
    </w:p>
    <w:p w:rsidR="00072E76" w:rsidRPr="00072E76" w:rsidRDefault="00072E76" w:rsidP="00072E76">
      <w:bookmarkStart w:id="54" w:name="_Hlk139096591"/>
      <w:r w:rsidRPr="00072E76">
        <w:t>Οι υποβαλλόμενες προσφορές ισχύουν και δεσμεύουν τους οικονομικούς φορείς για διάστημα έξι (6)  μηνών από την επόμενη της καταληκτικής ημερομηνίας υποβολής προσφορών</w:t>
      </w:r>
      <w:bookmarkEnd w:id="54"/>
      <w:r w:rsidRPr="00072E76">
        <w:t>.</w:t>
      </w:r>
    </w:p>
    <w:p w:rsidR="00072E76" w:rsidRPr="00072E76" w:rsidRDefault="00072E76" w:rsidP="00072E76">
      <w:r w:rsidRPr="00072E76">
        <w:t>Προσφορά η οποία ορίζει χρόνο ισχύος μικρότερο από τον ανωτέρω προβλεπόμενο απορρίπτεται ως μη κανονική.</w:t>
      </w:r>
    </w:p>
    <w:p w:rsidR="00072E76" w:rsidRPr="00072E76" w:rsidRDefault="00072E76" w:rsidP="00072E76">
      <w:r w:rsidRPr="00072E76">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302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072E76" w:rsidRPr="00072E76" w:rsidRDefault="00072E76" w:rsidP="00072E76">
      <w:r w:rsidRPr="00072E76">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w:t>
      </w:r>
      <w:r w:rsidRPr="00072E76">
        <w:lastRenderedPageBreak/>
        <w:t>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072E76" w:rsidRPr="00072E76" w:rsidRDefault="00072E76" w:rsidP="00072E76">
      <w:r w:rsidRPr="00072E76">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w:t>
      </w:r>
    </w:p>
    <w:p w:rsidR="00072E76" w:rsidRPr="00072E76" w:rsidRDefault="00072E76" w:rsidP="00072E76">
      <w:bookmarkStart w:id="55" w:name="__RefHeading___Toc470009808"/>
      <w:bookmarkEnd w:id="55"/>
      <w:r w:rsidRPr="00072E76">
        <w:t>2.4.6</w:t>
      </w:r>
      <w:r w:rsidRPr="00072E76">
        <w:tab/>
        <w:t>Λόγοι απόρριψης προσφορών</w:t>
      </w:r>
    </w:p>
    <w:p w:rsidR="00072E76" w:rsidRPr="00072E76" w:rsidRDefault="00072E76" w:rsidP="00072E76">
      <w:r w:rsidRPr="00072E76">
        <w:t>H αναθέτουσα αρχή με βάση τα αποτελέσματα του ελέγχου και της αξιολόγησης των προσφορών, απορρίπτει, σε κάθε περίπτωση, προσφορά:</w:t>
      </w:r>
    </w:p>
    <w:p w:rsidR="00072E76" w:rsidRPr="00072E76" w:rsidRDefault="00072E76" w:rsidP="00072E76">
      <w:r w:rsidRPr="00072E76">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p>
    <w:p w:rsidR="00072E76" w:rsidRPr="00072E76" w:rsidRDefault="00072E76" w:rsidP="00072E76">
      <w:r w:rsidRPr="00072E76">
        <w:t xml:space="preserve">β) η οποία περιέχει ατέλειες, ελλιπείς, ασαφείς ή λανθασμένες πληροφορίες ή τεκμηρίωση, συμπεριλαμβανομένων των πληροφοριών που περιέχονται στο ΕΕΕΣ, εφόσον αυτές δεν επιδέχονται </w:t>
      </w:r>
      <w:proofErr w:type="spellStart"/>
      <w:r w:rsidRPr="00072E76">
        <w:t>συμπλήρωσης,διόρθωσης</w:t>
      </w:r>
      <w:proofErr w:type="spellEnd"/>
      <w:r w:rsidRPr="00072E76">
        <w:t>,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072E76" w:rsidRPr="00072E76" w:rsidRDefault="00072E76" w:rsidP="00072E76">
      <w:r w:rsidRPr="00072E76">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072E76" w:rsidRPr="00072E76" w:rsidRDefault="00072E76" w:rsidP="00072E76">
      <w:r w:rsidRPr="00072E76">
        <w:t xml:space="preserve">δ) η οποία είναι εναλλακτική προσφορά, </w:t>
      </w:r>
    </w:p>
    <w:p w:rsidR="00072E76" w:rsidRPr="00072E76" w:rsidRDefault="00072E76" w:rsidP="00072E76">
      <w:r w:rsidRPr="00072E76">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072E76">
        <w:t>περ.γ</w:t>
      </w:r>
      <w:proofErr w:type="spellEnd"/>
      <w:r w:rsidRPr="00072E76">
        <w:t xml:space="preserve"> της παρούσας (</w:t>
      </w:r>
      <w:proofErr w:type="spellStart"/>
      <w:r w:rsidRPr="00072E76">
        <w:t>περ</w:t>
      </w:r>
      <w:proofErr w:type="spellEnd"/>
      <w:r w:rsidRPr="00072E76">
        <w:t xml:space="preserve">. </w:t>
      </w:r>
      <w:proofErr w:type="spellStart"/>
      <w:r w:rsidRPr="00072E76">
        <w:t>γ΄</w:t>
      </w:r>
      <w:proofErr w:type="spellEnd"/>
      <w:r w:rsidRPr="00072E76">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072E76" w:rsidRPr="00072E76" w:rsidRDefault="00072E76" w:rsidP="00072E76">
      <w:r w:rsidRPr="00072E76">
        <w:t>στ) η οποία είναι υπό αίρεση,</w:t>
      </w:r>
    </w:p>
    <w:p w:rsidR="00072E76" w:rsidRPr="00072E76" w:rsidRDefault="00072E76" w:rsidP="00072E76">
      <w:r w:rsidRPr="00072E76">
        <w:t>ζ)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313 του ν.4412/2016,</w:t>
      </w:r>
    </w:p>
    <w:p w:rsidR="00072E76" w:rsidRPr="00072E76" w:rsidRDefault="00072E76" w:rsidP="00072E76">
      <w:r w:rsidRPr="00072E76">
        <w:t>η) εφόσον διαπιστωθεί ότι είναι ασυνήθιστα χαμηλή διότι δε συμμορφώνεται με τις ισχύουσες  υποχρεώσεις της παρ. 2 του άρθρου 18 του ν.4412/2016,</w:t>
      </w:r>
    </w:p>
    <w:p w:rsidR="00072E76" w:rsidRPr="00072E76" w:rsidRDefault="00072E76" w:rsidP="00072E76">
      <w:r w:rsidRPr="00072E76">
        <w:t xml:space="preserve">θ) η οποία παρουσιάζει αποκλίσεις ως προς τους όρους και τις τεχνικές προδιαγραφές της </w:t>
      </w:r>
      <w:proofErr w:type="spellStart"/>
      <w:r w:rsidRPr="00072E76">
        <w:t>σύμβασηςπου</w:t>
      </w:r>
      <w:proofErr w:type="spellEnd"/>
      <w:r w:rsidRPr="00072E76">
        <w:t xml:space="preserve"> έχουν ρητώς καθοριστεί, επί ποινή αποκλεισμού, στην παρούσα Διακήρυξη,</w:t>
      </w:r>
    </w:p>
    <w:p w:rsidR="00072E76" w:rsidRPr="00072E76" w:rsidRDefault="00072E76" w:rsidP="00072E76">
      <w:r w:rsidRPr="00072E76">
        <w:t>ι)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072E76" w:rsidRPr="00072E76" w:rsidRDefault="00072E76" w:rsidP="00072E76">
      <w:r w:rsidRPr="00072E76">
        <w:t xml:space="preserve">ια)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072E76">
        <w:t>επ</w:t>
      </w:r>
      <w:proofErr w:type="spellEnd"/>
      <w:r w:rsidRPr="00072E76">
        <w:t>., περί κριτηρίων επιλογής,</w:t>
      </w:r>
    </w:p>
    <w:p w:rsidR="00072E76" w:rsidRPr="00072E76" w:rsidRDefault="00072E76" w:rsidP="00072E76">
      <w:r w:rsidRPr="00072E76">
        <w:lastRenderedPageBreak/>
        <w:t>ιβ)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072E76" w:rsidRPr="00072E76" w:rsidRDefault="00072E76" w:rsidP="00072E76">
      <w:r w:rsidRPr="00072E76">
        <w:t>2.4.7</w:t>
      </w:r>
      <w:r w:rsidRPr="00072E76">
        <w:tab/>
        <w:t>Τοπικές Συνθήκες</w:t>
      </w:r>
    </w:p>
    <w:p w:rsidR="00072E76" w:rsidRPr="00072E76" w:rsidRDefault="00072E76" w:rsidP="00072E76">
      <w:r w:rsidRPr="00072E76">
        <w:t xml:space="preserve">Με την υποβολή της προσφοράς του, ο κάθε οικονομικός φορέας αποδέχεται ότι έχει μελετήσει λεπτομερώς όλα τα στοιχεία της προμήθειας και έχει λάβει πλήρη γνώση όλων των στοιχείων της διακήρυξης καθώς και των επιτόπιων συνθηκών που αφορούν την εκτέλεση της σύμβασης. Προκειμένου οι οικονομικοί φορείς να υπογράψουν την απαιτούμενη Υπ. Δήλωση γνώσης και αποδοχής των τοπικών συνθηκών (στο φάκελο των δικαιολογητικών συμμετοχής) και να προβούν σε τυχόν επιμετρήσεις που θεωρήσουν αναγκαίες, θα πρέπει να επισκεφθούν τους χώρους εγκατάστασης των συστημάτων και του εξοπλισμού, κατόπιν σχετικού αιτήματος προς την υπηρεσία.  Το σχετικό αίτημα θα πρέπει να υποβληθεί στην υπηρεσία, μέσω της ενότητας «επικοινωνία» της Διαδικτυακής πύλης </w:t>
      </w:r>
      <w:hyperlink r:id="rId22" w:history="1">
        <w:r w:rsidRPr="00072E76">
          <w:t>www.promitheus.gov.gr</w:t>
        </w:r>
      </w:hyperlink>
      <w:r w:rsidRPr="00072E76">
        <w:t xml:space="preserve">, του Ε.Σ.Η.ΔΗ.Σ. Οι οικονομικοί φορείς που υπέβαλαν τις σχετικές αιτήσεις θα ενημερωθούν μέσω της ενότητας «επικοινωνία» της Διαδικτυακής πύλης </w:t>
      </w:r>
      <w:hyperlink r:id="rId23" w:history="1">
        <w:r w:rsidRPr="00072E76">
          <w:t>www.promitheus.gov.gr</w:t>
        </w:r>
      </w:hyperlink>
      <w:r w:rsidRPr="00072E76">
        <w:t>, του Ε.Σ.Η.ΔΗ.Σ. για τις διαθέσιμες ημερομηνίες και ώρες κατά τις οποίο μπορεί να πραγματοποιηθεί η επίσκεψη τους στις εγκαταστάσεις. Επιπλέον η υπηρεσία θα διαθέσει το απαραίτητο προσωπικό που θα συνοδεύσει τους οικονομικούς φορείς και θα παράσχει τις σχετικές πληροφορίες. Με το πέρας της επίσκεψης η Αναθέτουσα Αρχή θα προμηθεύσει τους οικονομικούς φορείς βεβαίωση γνώσης των τοπικών συνθηκών, η οποία θα πρέπει να υποβληθεί στο φάκελο δικαιολογητικών συμμετοχής.</w:t>
      </w:r>
    </w:p>
    <w:p w:rsidR="00072E76" w:rsidRPr="00072E76" w:rsidRDefault="00072E76" w:rsidP="00072E76">
      <w:bookmarkStart w:id="56" w:name="__RefHeading___Toc470009809"/>
      <w:r w:rsidRPr="00072E76">
        <w:t>3.</w:t>
      </w:r>
      <w:r w:rsidRPr="00072E76">
        <w:tab/>
        <w:t>ΔΙΕΝΕΡΓΕΙΑ ΔΙΑΔΙΚΑΣΙΑΣ - ΑΞΙΟΛΟΓΗΣΗ ΠΡΟΣΦΟΡΩΝ</w:t>
      </w:r>
      <w:bookmarkEnd w:id="56"/>
    </w:p>
    <w:p w:rsidR="00072E76" w:rsidRPr="00072E76" w:rsidRDefault="00072E76" w:rsidP="00072E76">
      <w:bookmarkStart w:id="57" w:name="__RefHeading___Toc470009810"/>
      <w:r w:rsidRPr="00072E76">
        <w:t>3.1</w:t>
      </w:r>
      <w:r w:rsidRPr="00072E76">
        <w:tab/>
        <w:t>Αποσφράγιση και αξιολόγηση προσφορών</w:t>
      </w:r>
      <w:bookmarkEnd w:id="57"/>
    </w:p>
    <w:p w:rsidR="00072E76" w:rsidRPr="00072E76" w:rsidRDefault="00072E76" w:rsidP="00072E76">
      <w:bookmarkStart w:id="58" w:name="__RefHeading___Toc470009811"/>
      <w:bookmarkEnd w:id="58"/>
      <w:r w:rsidRPr="00072E76">
        <w:t>3.1.1</w:t>
      </w:r>
      <w:r w:rsidRPr="00072E76">
        <w:tab/>
        <w:t>Ηλεκτρονική αποσφράγιση προσφορών</w:t>
      </w:r>
    </w:p>
    <w:p w:rsidR="00072E76" w:rsidRPr="00072E76" w:rsidRDefault="00072E76" w:rsidP="00072E76">
      <w:r w:rsidRPr="00072E76">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72E76" w:rsidRPr="00072E76" w:rsidRDefault="00072E76" w:rsidP="00072E76">
      <w:r w:rsidRPr="00072E76">
        <w:t>Ηλεκτρονική Αποσφράγιση του (υπό)φακέλου «Δικαιολογητικά Συμμετοχής-Τεχνική Προσφορά» την.....και ώρα......</w:t>
      </w:r>
    </w:p>
    <w:p w:rsidR="00072E76" w:rsidRPr="00072E76" w:rsidRDefault="00072E76" w:rsidP="00072E76">
      <w:r w:rsidRPr="00072E76">
        <w:t xml:space="preserve">Ηλεκτρονική Αποσφράγιση του (υπό)φακέλου «Οικονομική Προσφορά», κατά την ημερομηνία και ώρα που θα ορίσει η αναθέτουσα αρχή </w:t>
      </w:r>
    </w:p>
    <w:p w:rsidR="00072E76" w:rsidRPr="00072E76" w:rsidRDefault="00072E76" w:rsidP="00072E76">
      <w:r w:rsidRPr="00072E76">
        <w:t xml:space="preserve">Σε κάθε στάδιο τα στοιχεία των προσφορών που αποσφραγίζονται είναι καταρχήν </w:t>
      </w:r>
      <w:proofErr w:type="spellStart"/>
      <w:r w:rsidRPr="00072E76">
        <w:t>προσβάσιμα</w:t>
      </w:r>
      <w:proofErr w:type="spellEnd"/>
      <w:r w:rsidRPr="00072E76">
        <w:t xml:space="preserve"> μόνο στα μέλη της Επιτροπής Διαγωνισμού και την Αναθέτουσα Αρχή. </w:t>
      </w:r>
    </w:p>
    <w:p w:rsidR="00072E76" w:rsidRPr="00072E76" w:rsidRDefault="00072E76" w:rsidP="00072E76">
      <w:bookmarkStart w:id="59" w:name="__RefHeading___Toc470009812"/>
      <w:bookmarkEnd w:id="59"/>
      <w:r w:rsidRPr="00072E76">
        <w:t>3.1.2</w:t>
      </w:r>
      <w:r w:rsidRPr="00072E76">
        <w:tab/>
        <w:t>Αξιολόγηση προσφορών</w:t>
      </w:r>
    </w:p>
    <w:p w:rsidR="00072E76" w:rsidRPr="00072E76" w:rsidRDefault="00072E76" w:rsidP="00072E76">
      <w:r w:rsidRPr="00072E76">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072E76" w:rsidRPr="00072E76" w:rsidRDefault="00072E76" w:rsidP="00072E76">
      <w:r w:rsidRPr="00072E76">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072E76">
        <w:t>εξακριβώσιμος</w:t>
      </w:r>
      <w:proofErr w:type="spellEnd"/>
      <w:r w:rsidRPr="00072E76">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72E76">
        <w:t>κατ΄</w:t>
      </w:r>
      <w:proofErr w:type="spellEnd"/>
      <w:r w:rsidRPr="00072E76">
        <w:t xml:space="preserve"> </w:t>
      </w:r>
      <w:proofErr w:type="spellStart"/>
      <w:r w:rsidRPr="00072E76">
        <w:t>αναλογίαν</w:t>
      </w:r>
      <w:proofErr w:type="spellEnd"/>
      <w:r w:rsidRPr="00072E76">
        <w:t xml:space="preserve"> και για τυχόν ελλείπουσες δηλώσεις, υπό την προϋπόθεση ότι βεβαιώνουν γεγονότα αντικειμενικώς </w:t>
      </w:r>
      <w:proofErr w:type="spellStart"/>
      <w:r w:rsidRPr="00072E76">
        <w:t>εξακριβώσιμα</w:t>
      </w:r>
      <w:proofErr w:type="spellEnd"/>
      <w:r w:rsidRPr="00072E76">
        <w:t xml:space="preserve"> .</w:t>
      </w:r>
    </w:p>
    <w:p w:rsidR="00072E76" w:rsidRPr="00072E76" w:rsidRDefault="00072E76" w:rsidP="00072E76">
      <w:r w:rsidRPr="00072E76">
        <w:t>Ειδικότερα :</w:t>
      </w:r>
    </w:p>
    <w:p w:rsidR="00072E76" w:rsidRPr="00072E76" w:rsidRDefault="00072E76" w:rsidP="00072E76">
      <w:r w:rsidRPr="00072E76">
        <w:lastRenderedPageBreak/>
        <w:t>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w:t>
      </w:r>
    </w:p>
    <w:p w:rsidR="00072E76" w:rsidRPr="00072E76" w:rsidRDefault="00072E76" w:rsidP="00072E76">
      <w:r w:rsidRPr="00072E76">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072E76" w:rsidRPr="00072E76" w:rsidRDefault="00072E76" w:rsidP="00072E76">
      <w:r w:rsidRPr="00072E76">
        <w:t>Κατά της εν λόγω απόφασης χωρεί προδικαστική προσφυγή, σύμφωνα με τα οριζόμενα στην παράγραφο 3.4 της παρούσας.</w:t>
      </w:r>
    </w:p>
    <w:p w:rsidR="00072E76" w:rsidRPr="00072E76" w:rsidRDefault="00072E76" w:rsidP="00072E76">
      <w:r w:rsidRPr="00072E76">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072E76" w:rsidRPr="00072E76" w:rsidRDefault="00072E76" w:rsidP="00072E76">
      <w:r w:rsidRPr="00072E76">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072E76" w:rsidRPr="00072E76" w:rsidRDefault="00072E76" w:rsidP="00072E76">
      <w:r w:rsidRPr="00072E76">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302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072E76" w:rsidRPr="00072E76" w:rsidRDefault="00072E76" w:rsidP="00072E76">
      <w:r w:rsidRPr="00072E76">
        <w:t>Κατά της εν λόγω απόφασης χωρεί προδικαστική προσφυγή, σύμφωνα με τα οριζόμενα στην παράγραφο 3.4 της παρούσας.</w:t>
      </w:r>
    </w:p>
    <w:p w:rsidR="00072E76" w:rsidRPr="00072E76" w:rsidRDefault="00072E76" w:rsidP="00072E76">
      <w:r w:rsidRPr="00072E76">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072E76" w:rsidRPr="00072E76" w:rsidRDefault="00072E76" w:rsidP="00072E76">
      <w:r w:rsidRPr="00072E76">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072E76" w:rsidRPr="00072E76" w:rsidRDefault="00072E76" w:rsidP="00072E76">
      <w:r w:rsidRPr="00072E76">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Η κρίση της Αναθέτουσας Αρχής σχετικά με τις ασυνήθιστα </w:t>
      </w:r>
      <w:r w:rsidRPr="00072E76">
        <w:lastRenderedPageBreak/>
        <w:t>χαμηλές προσφορές και την αποδοχή ή όχι των σχετικών εξηγήσεων εκ μέρους των προσφερόντων ενσωματώνεται στην κατωτέρω ενιαία απόφαση.</w:t>
      </w:r>
    </w:p>
    <w:p w:rsidR="00072E76" w:rsidRPr="00072E76" w:rsidRDefault="00072E76" w:rsidP="00072E76">
      <w:r w:rsidRPr="00072E76">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072E76" w:rsidRPr="00072E76" w:rsidRDefault="00072E76" w:rsidP="00072E76">
      <w:r w:rsidRPr="00072E76">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Τα αποτελέσματα της κλήρωσης ενσωματώνονται στην κατωτέρω απόφαση.</w:t>
      </w:r>
    </w:p>
    <w:p w:rsidR="00072E76" w:rsidRPr="00072E76" w:rsidRDefault="00072E76" w:rsidP="00072E76">
      <w:r w:rsidRPr="00072E76">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 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 .</w:t>
      </w:r>
    </w:p>
    <w:p w:rsidR="00072E76" w:rsidRPr="00072E76" w:rsidRDefault="00072E76" w:rsidP="00072E76">
      <w:r w:rsidRPr="00072E76">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p>
    <w:p w:rsidR="00072E76" w:rsidRPr="00072E76" w:rsidRDefault="00072E76" w:rsidP="00072E76"/>
    <w:p w:rsidR="00072E76" w:rsidRPr="00072E76" w:rsidRDefault="00072E76" w:rsidP="00072E76">
      <w:r w:rsidRPr="00072E76">
        <w:t>3.2</w:t>
      </w:r>
      <w:r w:rsidRPr="00072E76">
        <w:tab/>
        <w:t>Πρόσκληση υποβολής δικαιολογητικών προσωρινού αναδόχου  - Δικαιολογητικά προσωρινού αναδόχου</w:t>
      </w:r>
    </w:p>
    <w:p w:rsidR="00072E76" w:rsidRPr="00072E76" w:rsidRDefault="00072E76" w:rsidP="00072E76">
      <w:bookmarkStart w:id="60" w:name="__RefHeading___Toc470009814"/>
      <w:r w:rsidRPr="00072E76">
        <w:t>Μετά την αξιολόγηση των προσφορών, η αναθέτουσα αρχή αποστέλλει σχετική ηλεκτρονική  πρόσκληση μέσω της λειτουργικότητας της «Επικοινωνίας» του ηλεκτρονικού διαγωνισμού στο ΕΣΗΔΗΣ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072E76" w:rsidRPr="00072E76" w:rsidRDefault="00072E76" w:rsidP="00072E76">
      <w:r w:rsidRPr="00072E76">
        <w:t xml:space="preserve">Τα εν λόγω δικαιολογητικά, υποβάλλονται από τον προσφέροντα («προσωρινό ανάδοχο»), ηλεκτρονικά μέσω του συστήματος, σε μορφή ηλεκτρονικών αρχείων με </w:t>
      </w:r>
      <w:proofErr w:type="spellStart"/>
      <w:r w:rsidRPr="00072E76">
        <w:t>μορφότυπο</w:t>
      </w:r>
      <w:proofErr w:type="spellEnd"/>
      <w:r w:rsidRPr="00072E76">
        <w:t xml:space="preserve"> PDF, σύμφωνα με τα ειδικώς οριζόμενα στην παράγραφο 2.4.2.5 της παρούσας. </w:t>
      </w:r>
    </w:p>
    <w:p w:rsidR="00072E76" w:rsidRPr="00072E76" w:rsidRDefault="00072E76" w:rsidP="00072E76">
      <w:r w:rsidRPr="00072E76">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072E76" w:rsidRPr="00072E76" w:rsidRDefault="00072E76" w:rsidP="00072E76">
      <w:r w:rsidRPr="00072E76">
        <w:t xml:space="preserve">Αν δεν προσκομισθούν τα παραπάνω δικαιολογητικά ή υπάρχουν ελλείψεις σε αυτά που υποβλήθηκαν , η αναθέτουσα αρχή καλεί τον προσωρινό ανάδοχο να προσκομίσει τα ελλείποντα </w:t>
      </w:r>
      <w:r w:rsidRPr="00072E76">
        <w:lastRenderedPageBreak/>
        <w:t>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072E76" w:rsidRPr="00072E76" w:rsidRDefault="00072E76" w:rsidP="00072E76">
      <w:r w:rsidRPr="00072E76">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072E76">
        <w:t>κατ΄</w:t>
      </w:r>
      <w:proofErr w:type="spellEnd"/>
      <w:r w:rsidRPr="00072E76">
        <w:t xml:space="preserve"> εφαρμογή του άρθρου 308 σε συνδυασμό με τη διάταξη του πρώτου εδαφίου της παρ. 5 του άρθρου 79  του ν. 4412/2016, τηρουμένων των αρχών της ίσης μεταχείρισης και της διαφάνειας.</w:t>
      </w:r>
    </w:p>
    <w:p w:rsidR="00072E76" w:rsidRPr="00072E76" w:rsidRDefault="00072E76" w:rsidP="00072E76">
      <w:r w:rsidRPr="00072E76">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072E76" w:rsidRPr="00072E76" w:rsidRDefault="00072E76" w:rsidP="00072E76">
      <w:r w:rsidRPr="00072E76">
        <w:t>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w:t>
      </w:r>
    </w:p>
    <w:p w:rsidR="00072E76" w:rsidRPr="00072E76" w:rsidRDefault="00072E76" w:rsidP="00072E76">
      <w:r w:rsidRPr="00072E76">
        <w:t xml:space="preserve">ii)  δεν υποβληθούν στο προκαθορισμένο χρονικό διάστημα τα απαιτούμενα πρωτότυπα ή αντίγραφα των παραπάνω δικαιολογητικών ή </w:t>
      </w:r>
    </w:p>
    <w:p w:rsidR="00072E76" w:rsidRPr="00072E76" w:rsidRDefault="00072E76" w:rsidP="00072E76">
      <w:r w:rsidRPr="00072E76">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072E76" w:rsidRPr="00072E76" w:rsidRDefault="00072E76" w:rsidP="00072E76">
      <w:r w:rsidRPr="00072E76">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επήλθαν ή για τις οποίες έλαβε γνώση μετά την δήλωση και μέχρι την ημέρα της σύναψης της σύμβασης (</w:t>
      </w:r>
      <w:proofErr w:type="spellStart"/>
      <w:r w:rsidRPr="00072E76">
        <w:t>οψιγενείς</w:t>
      </w:r>
      <w:proofErr w:type="spellEnd"/>
      <w:r w:rsidRPr="00072E76">
        <w:t xml:space="preserve"> μεταβολές), δεν καταπίπτει υπέρ της αναθέτουσας αρχής η εγγύηση συμμετοχής του. </w:t>
      </w:r>
    </w:p>
    <w:p w:rsidR="00072E76" w:rsidRPr="00072E76" w:rsidRDefault="00072E76" w:rsidP="00072E76">
      <w:r w:rsidRPr="00072E76">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072E76" w:rsidRPr="00072E76" w:rsidRDefault="00072E76" w:rsidP="00072E76">
      <w:r w:rsidRPr="00072E76">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ανωτέρω οριζόμενα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rsidR="00072E76" w:rsidRPr="00072E76" w:rsidRDefault="00072E76" w:rsidP="00072E76"/>
    <w:p w:rsidR="00072E76" w:rsidRPr="00072E76" w:rsidRDefault="00072E76" w:rsidP="00072E76">
      <w:r w:rsidRPr="00072E76">
        <w:t>3.3</w:t>
      </w:r>
      <w:r w:rsidRPr="00072E76">
        <w:tab/>
        <w:t>Κατακύρωση - σύναψη σύμβασης</w:t>
      </w:r>
      <w:bookmarkEnd w:id="60"/>
    </w:p>
    <w:p w:rsidR="00072E76" w:rsidRPr="00072E76" w:rsidRDefault="00072E76" w:rsidP="00072E76">
      <w:r w:rsidRPr="00072E76">
        <w:t xml:space="preserve">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w:t>
      </w:r>
      <w:r w:rsidRPr="00072E76">
        <w:lastRenderedPageBreak/>
        <w:t>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072E76" w:rsidRPr="00072E76" w:rsidRDefault="00072E76" w:rsidP="00072E76">
      <w:r w:rsidRPr="00072E76">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072E76" w:rsidRPr="00072E76" w:rsidRDefault="00072E76" w:rsidP="00072E76">
      <w:r w:rsidRPr="00072E76">
        <w:t xml:space="preserve">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 </w:t>
      </w:r>
    </w:p>
    <w:p w:rsidR="00072E76" w:rsidRPr="00072E76" w:rsidRDefault="00072E76" w:rsidP="00072E76">
      <w:r w:rsidRPr="00072E76">
        <w:t>3.3.2. Η απόφαση κατακύρωσης καθίσταται οριστική, εφόσον συντρέξουν οι ακόλουθες προϋποθέσεις σωρευτικά:</w:t>
      </w:r>
    </w:p>
    <w:p w:rsidR="00072E76" w:rsidRPr="00072E76" w:rsidRDefault="00072E76" w:rsidP="00072E76">
      <w:r w:rsidRPr="00072E76">
        <w:t xml:space="preserve">α) κοινοποιηθεί η απόφαση κατακύρωσης σε όλους τους οικονομικούς φορείς που δεν έχουν αποκλειστεί οριστικά, </w:t>
      </w:r>
    </w:p>
    <w:p w:rsidR="00072E76" w:rsidRPr="00072E76" w:rsidRDefault="00072E76" w:rsidP="00072E76">
      <w:r w:rsidRPr="00072E76">
        <w:t>β) παρέλθει άπρακτη η προθεσμία άσκησης προδικαστικής προσφυγής ή σε περίπτωση άσκησης, παρέλθει άπρακτη η προθεσμία άσκησης αίτησης αναστολής και ακύρωσης  κατά της απόφασης της Ε.Α.ΔΗ.ΣΥ και σε περίπτωση άσκησης αίτησης αναστολής και ακύρωσης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24" w:anchor="art372_4" w:history="1">
        <w:r w:rsidRPr="00072E76">
          <w:t>παρ.</w:t>
        </w:r>
      </w:hyperlink>
      <w:hyperlink r:id="rId25" w:anchor="art372_4" w:history="1"/>
      <w:hyperlink r:id="rId26" w:anchor="art372_4" w:history="1">
        <w:r w:rsidRPr="00072E76">
          <w:t>4 του άρθρου 372</w:t>
        </w:r>
      </w:hyperlink>
      <w:r w:rsidRPr="00072E76">
        <w:t xml:space="preserve"> του ν. 4412/2016,</w:t>
      </w:r>
    </w:p>
    <w:p w:rsidR="00072E76" w:rsidRPr="00072E76" w:rsidRDefault="00072E76" w:rsidP="00072E76">
      <w:r w:rsidRPr="00072E76">
        <w:t xml:space="preserve">γ) ολοκληρωθεί επιτυχώς ο </w:t>
      </w:r>
      <w:proofErr w:type="spellStart"/>
      <w:r w:rsidRPr="00072E76">
        <w:t>προσυμβατικός</w:t>
      </w:r>
      <w:proofErr w:type="spellEnd"/>
      <w:r w:rsidRPr="00072E76">
        <w:t xml:space="preserve"> έλεγχος από το Ελεγκτικό Συνέδριο, σύμφωνα με τα άρθρα 324 έως 327 του ν. 4700/2020, εφόσον απαιτείται,</w:t>
      </w:r>
    </w:p>
    <w:p w:rsidR="00072E76" w:rsidRPr="00072E76" w:rsidRDefault="00072E76" w:rsidP="00072E76">
      <w:r w:rsidRPr="00072E76">
        <w:t xml:space="preserve">και </w:t>
      </w:r>
    </w:p>
    <w:p w:rsidR="00072E76" w:rsidRPr="00072E76" w:rsidRDefault="00072E76" w:rsidP="00072E76">
      <w:r w:rsidRPr="00072E76">
        <w:t xml:space="preserve">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w:t>
      </w:r>
      <w:proofErr w:type="spellStart"/>
      <w:r w:rsidRPr="00072E76">
        <w:t>οψιγενείς</w:t>
      </w:r>
      <w:proofErr w:type="spellEnd"/>
      <w:r w:rsidRPr="00072E76">
        <w:t xml:space="preserve"> μεταβολές κατά την έννοια των άρθρων 315 παρ. 1 και 104 του ν. 4412/2016 και μόνον στην περίπτωση του </w:t>
      </w:r>
      <w:proofErr w:type="spellStart"/>
      <w:r w:rsidRPr="00072E76">
        <w:t>προσυμβατικού</w:t>
      </w:r>
      <w:proofErr w:type="spellEnd"/>
      <w:r w:rsidRPr="00072E76">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072E76">
        <w:t>οψιγενείς</w:t>
      </w:r>
      <w:proofErr w:type="spellEnd"/>
      <w:r w:rsidRPr="00072E76">
        <w:t xml:space="preserve"> μεταβολές, η δήλωση ελέγχεται από την Επιτροπή Διαγωνισμού, η οποία εισηγείται προς το αρμόδιο αποφαινόμενο όργανο.</w:t>
      </w:r>
    </w:p>
    <w:p w:rsidR="00072E76" w:rsidRPr="00072E76" w:rsidRDefault="00072E76" w:rsidP="00072E76">
      <w:r w:rsidRPr="00072E76">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072E76" w:rsidRPr="00072E76" w:rsidRDefault="00072E76" w:rsidP="00072E76">
      <w:r w:rsidRPr="00072E76">
        <w:t>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p>
    <w:p w:rsidR="00072E76" w:rsidRPr="00072E76" w:rsidRDefault="00072E76" w:rsidP="00072E76">
      <w:r w:rsidRPr="00072E76">
        <w:t xml:space="preserve">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w:t>
      </w:r>
      <w:r w:rsidRPr="00072E76">
        <w:lastRenderedPageBreak/>
        <w:t>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του ΑΚ.</w:t>
      </w:r>
    </w:p>
    <w:p w:rsidR="00072E76" w:rsidRPr="00072E76" w:rsidRDefault="00072E76" w:rsidP="00072E76">
      <w:r w:rsidRPr="00072E76">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του ΑΚ.</w:t>
      </w:r>
    </w:p>
    <w:p w:rsidR="00072E76" w:rsidRPr="00072E76" w:rsidRDefault="00072E76" w:rsidP="00072E76">
      <w:bookmarkStart w:id="61" w:name="__RefHeading___Toc470009815"/>
      <w:bookmarkEnd w:id="61"/>
      <w:r w:rsidRPr="00072E76">
        <w:t>3.4</w:t>
      </w:r>
      <w:r w:rsidRPr="00072E76">
        <w:tab/>
        <w:t xml:space="preserve">Προδικαστικές Προσφυγές – Προσωρινή και Οριστική Δικαστική Προστασία </w:t>
      </w:r>
    </w:p>
    <w:p w:rsidR="00072E76" w:rsidRPr="00072E76" w:rsidRDefault="00072E76" w:rsidP="00072E76">
      <w:bookmarkStart w:id="62" w:name="__RefHeading___Toc470009816"/>
      <w:bookmarkStart w:id="63" w:name="__RefHeading___Toc470009817"/>
      <w:bookmarkEnd w:id="62"/>
      <w:bookmarkEnd w:id="63"/>
      <w:r w:rsidRPr="00072E76">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72E76">
        <w:t>ενωσιακής</w:t>
      </w:r>
      <w:proofErr w:type="spellEnd"/>
      <w:r w:rsidRPr="00072E76">
        <w:t xml:space="preserve">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346 </w:t>
      </w:r>
      <w:proofErr w:type="spellStart"/>
      <w:r w:rsidRPr="00072E76">
        <w:t>επ</w:t>
      </w:r>
      <w:proofErr w:type="spellEnd"/>
      <w:r w:rsidRPr="00072E76">
        <w:t xml:space="preserve">. ν. 4412/2016 και 1επ.  του </w:t>
      </w:r>
      <w:proofErr w:type="spellStart"/>
      <w:r w:rsidRPr="00072E76">
        <w:t>π.δ</w:t>
      </w:r>
      <w:proofErr w:type="spellEnd"/>
      <w:r w:rsidRPr="00072E76">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072E76" w:rsidRPr="00072E76" w:rsidRDefault="00072E76" w:rsidP="00072E76">
      <w:r w:rsidRPr="00072E76">
        <w:t>Σε περίπτωση προσφυγής κατά πράξης της αναθέτουσας αρχής, η προθεσμία για την άσκηση της προδικαστικής προσφυγής είναι:</w:t>
      </w:r>
    </w:p>
    <w:p w:rsidR="00072E76" w:rsidRPr="00072E76" w:rsidRDefault="00072E76" w:rsidP="00072E76">
      <w:r w:rsidRPr="00072E76">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72E76" w:rsidRPr="00072E76" w:rsidRDefault="00072E76" w:rsidP="00072E76">
      <w:r w:rsidRPr="00072E76">
        <w:t xml:space="preserve">(β) δεκαπέντε (15) ημέρες από την κοινοποίηση της προσβαλλόμενης πράξης σε αυτόν αν χρησιμοποιήθηκαν άλλα μέσα επικοινωνίας, άλλως  </w:t>
      </w:r>
    </w:p>
    <w:p w:rsidR="00072E76" w:rsidRPr="00072E76" w:rsidRDefault="00072E76" w:rsidP="00072E76">
      <w:r w:rsidRPr="00072E76">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72E76" w:rsidRPr="00072E76" w:rsidRDefault="00072E76" w:rsidP="00072E76">
      <w:r w:rsidRPr="00072E76">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072E76" w:rsidRPr="00072E76" w:rsidRDefault="00072E76" w:rsidP="00072E76">
      <w:r w:rsidRPr="00072E76">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072E76" w:rsidRPr="00072E76" w:rsidRDefault="00072E76" w:rsidP="00072E76">
      <w:r w:rsidRPr="00072E76">
        <w:t xml:space="preserve">Η προδικαστική προσφυγή συντάσσεται υποχρεωτικά με τη χρήση του τυποποιημένου εντύπου του Παραρτήματος Ι του </w:t>
      </w:r>
      <w:proofErr w:type="spellStart"/>
      <w:r w:rsidRPr="00072E76">
        <w:t>π.δ</w:t>
      </w:r>
      <w:proofErr w:type="spellEnd"/>
      <w:r w:rsidRPr="00072E76">
        <w:t>/</w:t>
      </w:r>
      <w:proofErr w:type="spellStart"/>
      <w:r w:rsidRPr="00072E76">
        <w:t>τος</w:t>
      </w:r>
      <w:proofErr w:type="spellEnd"/>
      <w:r w:rsidRPr="00072E76">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072E76" w:rsidRPr="00072E76" w:rsidRDefault="00072E76" w:rsidP="00072E76">
      <w:r w:rsidRPr="00072E76">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rsidR="00072E76" w:rsidRPr="00072E76" w:rsidRDefault="00072E76" w:rsidP="00072E76">
      <w:r w:rsidRPr="00072E76">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w:t>
      </w:r>
      <w:r w:rsidRPr="00072E76">
        <w:lastRenderedPageBreak/>
        <w:t xml:space="preserve">μετά από άσκηση προδικαστικής προσφυγής, σύμφωνα με το άρθρο 368 του ν. 4412/2016 και 20 </w:t>
      </w:r>
      <w:proofErr w:type="spellStart"/>
      <w:r w:rsidRPr="00072E76">
        <w:t>π.δ</w:t>
      </w:r>
      <w:proofErr w:type="spellEnd"/>
      <w:r w:rsidRPr="00072E76">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072E76">
        <w:t>π.δ</w:t>
      </w:r>
      <w:proofErr w:type="spellEnd"/>
      <w:r w:rsidRPr="00072E76">
        <w:t xml:space="preserve">. 39/2017. </w:t>
      </w:r>
    </w:p>
    <w:p w:rsidR="00072E76" w:rsidRPr="00072E76" w:rsidRDefault="00072E76" w:rsidP="00072E76">
      <w:r w:rsidRPr="00072E76">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72E76" w:rsidRPr="00072E76" w:rsidRDefault="00072E76" w:rsidP="00072E76">
      <w:r w:rsidRPr="00072E76">
        <w:t xml:space="preserve">Μετά την, κατά τα ως άνω, ηλεκτρονική κατάθεση της προδικαστικής προσφυγής η αναθέτουσα αρχή,  μέσω της λειτουργίας «Επικοινωνία»  : </w:t>
      </w:r>
    </w:p>
    <w:p w:rsidR="00072E76" w:rsidRPr="00072E76" w:rsidRDefault="00072E76" w:rsidP="00072E76">
      <w:r w:rsidRPr="00072E76">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072E76">
        <w:t>π.δ</w:t>
      </w:r>
      <w:proofErr w:type="spellEnd"/>
      <w:r w:rsidRPr="00072E76">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72E76" w:rsidRPr="00072E76" w:rsidRDefault="00072E76" w:rsidP="00072E76">
      <w:r w:rsidRPr="00072E76">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72E76" w:rsidRPr="00072E76" w:rsidRDefault="00072E76" w:rsidP="00072E76">
      <w:r w:rsidRPr="00072E76">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72E76" w:rsidRPr="00072E76" w:rsidRDefault="00072E76" w:rsidP="00072E76">
      <w:r w:rsidRPr="00072E76">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072E76" w:rsidRPr="00072E76" w:rsidRDefault="00072E76" w:rsidP="00072E76">
      <w:r w:rsidRPr="00072E76">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072E76" w:rsidRPr="00072E76" w:rsidRDefault="00072E76" w:rsidP="00072E76">
      <w:proofErr w:type="spellStart"/>
      <w:r w:rsidRPr="00072E76">
        <w:t>Β.Όποιος</w:t>
      </w:r>
      <w:proofErr w:type="spellEnd"/>
      <w:r w:rsidRPr="00072E76">
        <w:t xml:space="preserve"> έχει έννομο συμφέρον μπορεί να ζητήσει, με το ίδιο δικόγραφο εφαρμοζόμενων αναλογικά των διατάξεων του </w:t>
      </w:r>
      <w:proofErr w:type="spellStart"/>
      <w:r w:rsidRPr="00072E76">
        <w:t>π.δ</w:t>
      </w:r>
      <w:proofErr w:type="spellEnd"/>
      <w:r w:rsidRPr="00072E76">
        <w:t xml:space="preserve">. 18/1989, την αναστολή εκτέλεσης της απόφασης της Ε.Α.ΔΗ.ΣΥ. και την ακύρωσή της ενώπιον του αρμόδιου Διοικητικού </w:t>
      </w:r>
      <w:proofErr w:type="spellStart"/>
      <w:r w:rsidRPr="00072E76">
        <w:t>Δικαστηρίου.Το</w:t>
      </w:r>
      <w:proofErr w:type="spellEnd"/>
      <w:r w:rsidRPr="00072E76">
        <w:t xml:space="preserve">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072E76" w:rsidRPr="00072E76" w:rsidRDefault="00072E76" w:rsidP="00072E76">
      <w:r w:rsidRPr="00072E76">
        <w:t xml:space="preserve">Με την απόφαση της Ε.Α.ΔΗ.ΣΥ. λογίζονται ως </w:t>
      </w:r>
      <w:proofErr w:type="spellStart"/>
      <w:r w:rsidRPr="00072E76">
        <w:t>συμπροσβαλλόμενες</w:t>
      </w:r>
      <w:proofErr w:type="spellEnd"/>
      <w:r w:rsidRPr="00072E76">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072E76" w:rsidRPr="00072E76" w:rsidRDefault="00072E76" w:rsidP="00072E76">
      <w:r w:rsidRPr="00072E76">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72E76">
        <w:t>οψιγενείς</w:t>
      </w:r>
      <w:proofErr w:type="spellEnd"/>
      <w:r w:rsidRPr="00072E76">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072E76" w:rsidRPr="00072E76" w:rsidRDefault="00072E76" w:rsidP="00072E76">
      <w:r w:rsidRPr="00072E76">
        <w:t>Η ως άνω αίτηση κατατίθεται στο  αρμόδιο δικαστήριο μέσα σε προθεσμία δέκα (10) ημερών από την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p>
    <w:p w:rsidR="00072E76" w:rsidRPr="00072E76" w:rsidRDefault="00072E76" w:rsidP="00072E76"/>
    <w:p w:rsidR="00072E76" w:rsidRPr="00072E76" w:rsidRDefault="00072E76" w:rsidP="00072E76">
      <w:r w:rsidRPr="00072E76">
        <w:t xml:space="preserve">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w:t>
      </w:r>
      <w:r w:rsidRPr="00072E76">
        <w:lastRenderedPageBreak/>
        <w:t>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072E76" w:rsidRPr="00072E76" w:rsidRDefault="00072E76" w:rsidP="00072E76">
      <w:r w:rsidRPr="00072E76">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072E76" w:rsidRPr="00072E76" w:rsidRDefault="00072E76" w:rsidP="00072E76">
      <w:r w:rsidRPr="00072E76">
        <w:t xml:space="preserve">Η προθεσμία για την άσκηση και η άσκηση της αίτησης ενώπιον του αρμόδιου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w:t>
      </w:r>
      <w:proofErr w:type="spellStart"/>
      <w:r w:rsidRPr="00072E76">
        <w:t>διαφορετικάΓια</w:t>
      </w:r>
      <w:proofErr w:type="spellEnd"/>
      <w:r w:rsidRPr="00072E76">
        <w:t xml:space="preserve"> την άσκηση της αίτησης  κατατίθεται παράβολο, σύμφωνα με τα ειδικότερα οριζόμενα στο άρθρο 372 παρ. 5 του ν. 4412/2016.  </w:t>
      </w:r>
    </w:p>
    <w:p w:rsidR="00072E76" w:rsidRPr="00072E76" w:rsidRDefault="00072E76" w:rsidP="00072E76">
      <w:r w:rsidRPr="00072E76">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72E76">
        <w:t>π.δ</w:t>
      </w:r>
      <w:proofErr w:type="spellEnd"/>
      <w:r w:rsidRPr="00072E76">
        <w:t xml:space="preserve">. 18/1989. </w:t>
      </w:r>
    </w:p>
    <w:p w:rsidR="00072E76" w:rsidRPr="00072E76" w:rsidRDefault="00072E76" w:rsidP="00072E76">
      <w:r w:rsidRPr="00072E76">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072E76" w:rsidRPr="00072E76" w:rsidRDefault="00072E76" w:rsidP="00072E76">
      <w:r w:rsidRPr="00072E76">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72E76">
        <w:t>π.δ</w:t>
      </w:r>
      <w:proofErr w:type="spellEnd"/>
      <w:r w:rsidRPr="00072E76">
        <w:t>. 18/1989.</w:t>
      </w:r>
    </w:p>
    <w:p w:rsidR="00072E76" w:rsidRPr="00072E76" w:rsidRDefault="00072E76" w:rsidP="00072E76"/>
    <w:p w:rsidR="00072E76" w:rsidRPr="00072E76" w:rsidRDefault="00072E76" w:rsidP="00072E76">
      <w:r w:rsidRPr="00072E76">
        <w:t>3.5</w:t>
      </w:r>
      <w:r w:rsidRPr="00072E76">
        <w:tab/>
        <w:t>Ματαίωση Διαδικασίας</w:t>
      </w:r>
    </w:p>
    <w:p w:rsidR="00072E76" w:rsidRPr="00072E76" w:rsidRDefault="00072E76" w:rsidP="00072E76">
      <w:r w:rsidRPr="00072E76">
        <w:t xml:space="preserve">Η αναθέτουσα αρχή ματαιώνει ή δύναται να ματαιώσει εν </w:t>
      </w:r>
      <w:proofErr w:type="spellStart"/>
      <w:r w:rsidRPr="00072E76">
        <w:t>όλω</w:t>
      </w:r>
      <w:proofErr w:type="spellEnd"/>
      <w:r w:rsidRPr="00072E76">
        <w:t xml:space="preserve"> ή εν μέρει αιτιολογημένα τη διαδικασία ανάθεσης, για τους λόγους και υπό τους όρους του άρθρου 317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072E76" w:rsidRPr="00072E76" w:rsidRDefault="00072E76" w:rsidP="00072E76">
      <w:r w:rsidRPr="00072E76">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6 του άρθρου 316, περί κατακύρωσης και σύναψης σύμβασης.</w:t>
      </w:r>
    </w:p>
    <w:p w:rsidR="00072E76" w:rsidRPr="00072E76" w:rsidRDefault="00072E76" w:rsidP="00072E76">
      <w:r w:rsidRPr="00072E76">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317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w:t>
      </w:r>
      <w:r w:rsidRPr="00072E76">
        <w:lastRenderedPageBreak/>
        <w:t>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072E76" w:rsidRPr="00072E76" w:rsidRDefault="00072E76" w:rsidP="00072E76">
      <w:bookmarkStart w:id="64" w:name="__RefHeading___Toc470009818"/>
      <w:r w:rsidRPr="00072E76">
        <w:t>4.</w:t>
      </w:r>
      <w:r w:rsidRPr="00072E76">
        <w:tab/>
        <w:t>ΟΡΟΙ ΕΚΤΕΛΕΣΗΣ ΤΗΣ ΣΥΜΒΑΣΗΣ</w:t>
      </w:r>
      <w:bookmarkEnd w:id="64"/>
    </w:p>
    <w:p w:rsidR="00072E76" w:rsidRPr="00072E76" w:rsidRDefault="00072E76" w:rsidP="00072E76">
      <w:bookmarkStart w:id="65" w:name="__RefHeading___Toc470009819"/>
      <w:bookmarkEnd w:id="65"/>
      <w:r w:rsidRPr="00072E76">
        <w:t>4.1</w:t>
      </w:r>
      <w:r w:rsidRPr="00072E76">
        <w:tab/>
        <w:t xml:space="preserve">Εγγυήσεις  </w:t>
      </w:r>
    </w:p>
    <w:p w:rsidR="00072E76" w:rsidRPr="00072E76" w:rsidRDefault="00072E76" w:rsidP="00072E76">
      <w:r w:rsidRPr="00072E76">
        <w:t>4.1.1</w:t>
      </w:r>
      <w:r w:rsidRPr="00072E76">
        <w:tab/>
        <w:t>Εγγυήσεις Καλής εκτέλεσης/ Προκαταβολής</w:t>
      </w:r>
    </w:p>
    <w:p w:rsidR="00072E76" w:rsidRPr="00072E76" w:rsidRDefault="00072E76" w:rsidP="00072E76">
      <w:r w:rsidRPr="00072E76">
        <w:t xml:space="preserve">Για την υπογραφή της σύμβασης απαιτείται η παροχή εγγύησης καλής εκτέλεσης, σύμφωνα με το άρθρο 302 παρ. 4 του ν. 4412/2016, το ύψος της οποίας ανέρχεται σε ποσοστό 4% επί της εκτιμώμενης αξίας της σύμβασης, χωρίς να συμπεριλαμβάνονται τα δικαιώματα προαίρεσης και κατατίθεται μέχρι και την υπογραφή της σύμβασης. </w:t>
      </w:r>
    </w:p>
    <w:p w:rsidR="00072E76" w:rsidRPr="00072E76" w:rsidRDefault="00072E76" w:rsidP="00072E76">
      <w:r w:rsidRPr="00072E76">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άρθρο302παρ. 12 του ν. 4412/2016.</w:t>
      </w:r>
    </w:p>
    <w:p w:rsidR="00072E76" w:rsidRPr="00072E76" w:rsidRDefault="00072E76" w:rsidP="00072E76">
      <w:r w:rsidRPr="00072E76">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072E76" w:rsidRPr="00072E76" w:rsidRDefault="00072E76" w:rsidP="00072E76">
      <w:r w:rsidRPr="00072E76">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072E76" w:rsidRPr="00072E76" w:rsidRDefault="00072E76" w:rsidP="00072E76">
      <w:r w:rsidRPr="00072E76">
        <w:t xml:space="preserve">Η εγγύηση καλής εκτέλεσης καταπίπτει υπέρ της αναθέτουσας αρχής σε περίπτωση παράβασης από τον ανάδοχο, των όρων της σύμβασης, όπως αυτή ειδικότερα ορίζει. </w:t>
      </w:r>
    </w:p>
    <w:p w:rsidR="00072E76" w:rsidRPr="00072E76" w:rsidRDefault="00072E76" w:rsidP="00072E76">
      <w:r w:rsidRPr="00072E76">
        <w:t>Ο χρόνος ισχύος της εγγύησης καλής εκτέλεσης πρέπει να είναι μεγαλύτερος από τον συμβατικό χρόνο παράδοσης, για διάστημα δύο (2) μηνών.</w:t>
      </w:r>
    </w:p>
    <w:p w:rsidR="00072E76" w:rsidRPr="00072E76" w:rsidRDefault="00072E76" w:rsidP="00072E76">
      <w:r w:rsidRPr="00072E76">
        <w:t>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σύμφωνα με τα οριζόμενα στο άρθρο 72 παρ. 7 του ν. 4412/2016, και 2.1.5. της παρούσας. Η προκαταβολή και η εγγύηση προκαταβολής μπορούν να χορηγούνται τμηματικά, σύμφωνα με την παράγραφο 5.1. της παρούσας (τρόπος πληρωμής).</w:t>
      </w:r>
    </w:p>
    <w:p w:rsidR="00072E76" w:rsidRPr="00072E76" w:rsidRDefault="00072E76" w:rsidP="00072E76">
      <w:r w:rsidRPr="00072E76">
        <w:t>Η/Οι εγγύηση/εις καλής εκτέλεσης επιστρέφεται/</w:t>
      </w:r>
      <w:proofErr w:type="spellStart"/>
      <w:r w:rsidRPr="00072E76">
        <w:t>ονται</w:t>
      </w:r>
      <w:proofErr w:type="spellEnd"/>
      <w:r w:rsidRPr="00072E76">
        <w:t xml:space="preserve"> στο σύνολό του/ς μετά από την ποσοτική και ποιοτική παραλαβή του συνόλου του αντικειμένου της σύμβασης.</w:t>
      </w:r>
    </w:p>
    <w:p w:rsidR="00072E76" w:rsidRPr="00072E76" w:rsidRDefault="00072E76" w:rsidP="00072E76">
      <w:r w:rsidRPr="00072E76">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rsidR="00072E76" w:rsidRPr="00072E76" w:rsidRDefault="00072E76" w:rsidP="00072E76">
      <w:r w:rsidRPr="00072E76">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[ή στην περίπτωση που τα υλικά είναι διαιρετά και η παράδοση γίνεται τμηματικά]: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072E76" w:rsidRPr="00072E76" w:rsidRDefault="00072E76" w:rsidP="00072E76"/>
    <w:p w:rsidR="00072E76" w:rsidRPr="00072E76" w:rsidRDefault="00072E76" w:rsidP="00072E76">
      <w:r w:rsidRPr="00072E76">
        <w:t>4.1.2 Εγγύηση καλής λειτουργίας</w:t>
      </w:r>
    </w:p>
    <w:p w:rsidR="00072E76" w:rsidRPr="00072E76" w:rsidRDefault="00072E76" w:rsidP="00072E76">
      <w:r w:rsidRPr="00072E76">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p>
    <w:p w:rsidR="00072E76" w:rsidRPr="00072E76" w:rsidRDefault="00072E76" w:rsidP="00072E76">
      <w:r w:rsidRPr="00072E76">
        <w:lastRenderedPageBreak/>
        <w:t>Η εγγύηση καλής λειτουργίας της σύμβασης ανέρχεται σε δέκα χιλιάδες ευρώ (10.000,00€) και επιστρέφεται μέσα σε ένα (1) μήνα από την λήξη του προβλεπόμενου χρόνου της εγγυημένης λειτουργίας, διάστημα κατά το οποίο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w:t>
      </w:r>
    </w:p>
    <w:p w:rsidR="00072E76" w:rsidRPr="00072E76" w:rsidRDefault="00072E76" w:rsidP="00072E76">
      <w:bookmarkStart w:id="66" w:name="__RefHeading___Toc470009820"/>
    </w:p>
    <w:p w:rsidR="00072E76" w:rsidRPr="00072E76" w:rsidRDefault="00072E76" w:rsidP="00072E76">
      <w:r w:rsidRPr="00072E76">
        <w:t xml:space="preserve">4.2 </w:t>
      </w:r>
      <w:r w:rsidRPr="00072E76">
        <w:tab/>
        <w:t>Συμβατικό Πλαίσιο - Εφαρμοστέα Νομοθεσία</w:t>
      </w:r>
      <w:bookmarkEnd w:id="66"/>
    </w:p>
    <w:p w:rsidR="00072E76" w:rsidRPr="00072E76" w:rsidRDefault="00072E76" w:rsidP="00072E76">
      <w:r w:rsidRPr="00072E76">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72E76" w:rsidRPr="00072E76" w:rsidRDefault="00072E76" w:rsidP="00072E76">
      <w:bookmarkStart w:id="67" w:name="__RefHeading___Toc470009821"/>
      <w:bookmarkEnd w:id="67"/>
    </w:p>
    <w:p w:rsidR="00072E76" w:rsidRPr="00072E76" w:rsidRDefault="00072E76" w:rsidP="00072E76">
      <w:r w:rsidRPr="00072E76">
        <w:t>4.3</w:t>
      </w:r>
      <w:r w:rsidRPr="00072E76">
        <w:tab/>
        <w:t>Όροι εκτέλεσης της σύμβασης</w:t>
      </w:r>
    </w:p>
    <w:p w:rsidR="00072E76" w:rsidRPr="00072E76" w:rsidRDefault="00072E76" w:rsidP="00072E76">
      <w:r w:rsidRPr="00072E76">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072E76">
          <w:t>Παράρτημα X του Προσαρτήματος Α΄</w:t>
        </w:r>
      </w:hyperlink>
      <w:r w:rsidRPr="00072E76">
        <w:t>.</w:t>
      </w:r>
    </w:p>
    <w:p w:rsidR="00072E76" w:rsidRPr="00072E76" w:rsidRDefault="00072E76" w:rsidP="00072E76">
      <w:r w:rsidRPr="00072E76">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072E76" w:rsidRPr="00072E76" w:rsidRDefault="00072E76" w:rsidP="00072E76">
      <w:r w:rsidRPr="00072E76">
        <w:t>4.3.2</w:t>
      </w:r>
      <w:bookmarkStart w:id="68" w:name="_Hlk506566189"/>
      <w:r w:rsidRPr="00072E76">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8" w:anchor="art105_4" w:history="1">
        <w:r w:rsidRPr="00072E76">
          <w:t>παραγράφου 4 του άρθρου 316</w:t>
        </w:r>
      </w:hyperlink>
      <w:r w:rsidRPr="00072E76">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παραγράφου 7 του άρθρου 105 του ν. 4412/2016</w:t>
      </w:r>
      <w:bookmarkEnd w:id="68"/>
      <w:r w:rsidRPr="00072E76">
        <w:t>.</w:t>
      </w:r>
    </w:p>
    <w:p w:rsidR="00072E76" w:rsidRPr="00072E76" w:rsidRDefault="00072E76" w:rsidP="00072E76">
      <w:r w:rsidRPr="00072E76">
        <w:t>4.3.3. Ο ανάδοχος δεσμεύεται ότι :</w:t>
      </w:r>
    </w:p>
    <w:p w:rsidR="00072E76" w:rsidRPr="00072E76" w:rsidRDefault="00072E76" w:rsidP="00072E76">
      <w:r w:rsidRPr="00072E76">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072E76" w:rsidRPr="00072E76" w:rsidRDefault="00072E76" w:rsidP="00072E76">
      <w:r w:rsidRPr="00072E76">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w:t>
      </w:r>
      <w:proofErr w:type="spellStart"/>
      <w:r w:rsidRPr="00072E76">
        <w:t>Αρχήςπου</w:t>
      </w:r>
      <w:proofErr w:type="spellEnd"/>
      <w:r w:rsidRPr="00072E76">
        <w:t xml:space="preserve"> εμπλέκονται καθ’ οιονδήποτε τρόπο στη διαδικασία εκτέλεσης της σύμβασης ή/και μπορούν να επηρεάσουν την έκβαση και τις αποφάσεις της Αναθέτουσας </w:t>
      </w:r>
      <w:proofErr w:type="spellStart"/>
      <w:r w:rsidRPr="00072E76">
        <w:t>Αρχήςπερί</w:t>
      </w:r>
      <w:proofErr w:type="spellEnd"/>
      <w:r w:rsidRPr="00072E76">
        <w:t xml:space="preserve"> την εκτέλεσή της, οποτεδήποτε και εάν η κατάσταση αυτή προκύψει κατά τη διάρκεια εκτέλεσης της σύμβασης. </w:t>
      </w:r>
    </w:p>
    <w:p w:rsidR="00072E76" w:rsidRDefault="00072E76" w:rsidP="00072E76">
      <w:r w:rsidRPr="00072E76">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rsidR="00C42E12" w:rsidRDefault="00C42E12" w:rsidP="00072E76"/>
    <w:p w:rsidR="00C42E12" w:rsidRPr="00072E76" w:rsidRDefault="00C42E12" w:rsidP="00072E76"/>
    <w:p w:rsidR="00072E76" w:rsidRPr="00072E76" w:rsidRDefault="00072E76" w:rsidP="00072E76"/>
    <w:p w:rsidR="00072E76" w:rsidRPr="00072E76" w:rsidRDefault="00072E76" w:rsidP="00072E76">
      <w:bookmarkStart w:id="69" w:name="__RefHeading___Toc470009822"/>
      <w:bookmarkEnd w:id="69"/>
      <w:r w:rsidRPr="00072E76">
        <w:lastRenderedPageBreak/>
        <w:t>4.4</w:t>
      </w:r>
      <w:r w:rsidRPr="00072E76">
        <w:tab/>
        <w:t>Υπεργολαβία</w:t>
      </w:r>
    </w:p>
    <w:p w:rsidR="00072E76" w:rsidRPr="00072E76" w:rsidRDefault="00072E76" w:rsidP="00072E76">
      <w:bookmarkStart w:id="70" w:name="__RefHeading___Toc470009823"/>
      <w:r w:rsidRPr="00072E76">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των παρ. 2 των άρθρων 18 του ν. 4412/2016 από υπεργολάβους δεν αίρει την ευθύνη του κυρίου αναδόχου. </w:t>
      </w:r>
    </w:p>
    <w:p w:rsidR="00072E76" w:rsidRPr="00072E76" w:rsidRDefault="00072E76" w:rsidP="00072E76">
      <w:r w:rsidRPr="00072E76">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w:t>
      </w:r>
      <w:proofErr w:type="spellStart"/>
      <w:r w:rsidRPr="00072E76">
        <w:t>συνεργασίας.Σε</w:t>
      </w:r>
      <w:proofErr w:type="spellEnd"/>
      <w:r w:rsidRPr="00072E76">
        <w:t xml:space="preserve">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072E76" w:rsidRPr="00072E76" w:rsidRDefault="00072E76" w:rsidP="00072E76">
      <w:r w:rsidRPr="00072E76">
        <w:t xml:space="preserve">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και συντρέχουν στο πρόσωπό του οι λόγοι αποκλεισμού του άρθρου 2.2.3. της παρούσας, τότε υποχρεούται να τον αντικαταστήσει. </w:t>
      </w:r>
    </w:p>
    <w:p w:rsidR="00072E76" w:rsidRPr="00072E76" w:rsidRDefault="00072E76" w:rsidP="00072E76">
      <w:r w:rsidRPr="00072E76">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072E76" w:rsidRPr="00072E76" w:rsidRDefault="00072E76" w:rsidP="00072E76">
      <w:r w:rsidRPr="00072E76">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336 του ν. 4412/2016. </w:t>
      </w:r>
    </w:p>
    <w:p w:rsidR="00072E76" w:rsidRPr="00072E76" w:rsidRDefault="00072E76" w:rsidP="00072E76"/>
    <w:p w:rsidR="00072E76" w:rsidRPr="00072E76" w:rsidRDefault="00072E76" w:rsidP="00072E76">
      <w:r w:rsidRPr="00072E76">
        <w:t>4.5</w:t>
      </w:r>
      <w:r w:rsidRPr="00072E76">
        <w:tab/>
        <w:t>Τροποποίηση σύμβασης κατά τη διάρκειά της</w:t>
      </w:r>
      <w:bookmarkEnd w:id="70"/>
    </w:p>
    <w:p w:rsidR="00072E76" w:rsidRPr="00072E76" w:rsidRDefault="00072E76" w:rsidP="00072E76">
      <w:bookmarkStart w:id="71" w:name="__RefHeading___Toc470009824"/>
      <w:r w:rsidRPr="00072E76">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072E76">
        <w:t>περ</w:t>
      </w:r>
      <w:proofErr w:type="spellEnd"/>
      <w:r w:rsidRPr="00072E76">
        <w:t xml:space="preserve">. β  της παρ. 11 του άρθρου 221 του ν. 4412/2016.   </w:t>
      </w:r>
    </w:p>
    <w:p w:rsidR="00072E76" w:rsidRPr="00072E76" w:rsidRDefault="00072E76" w:rsidP="00072E76">
      <w:r w:rsidRPr="00072E76">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w:t>
      </w:r>
      <w:proofErr w:type="spellStart"/>
      <w:r w:rsidRPr="00072E76">
        <w:t>περ</w:t>
      </w:r>
      <w:proofErr w:type="spellEnd"/>
      <w:r w:rsidRPr="00072E76">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rsidR="00072E76" w:rsidRDefault="00072E76" w:rsidP="00072E76"/>
    <w:p w:rsidR="00C42E12" w:rsidRPr="00072E76" w:rsidRDefault="00C42E12" w:rsidP="00072E76"/>
    <w:p w:rsidR="00072E76" w:rsidRPr="00072E76" w:rsidRDefault="00072E76" w:rsidP="00072E76">
      <w:r w:rsidRPr="00072E76">
        <w:lastRenderedPageBreak/>
        <w:t>4.6</w:t>
      </w:r>
      <w:r w:rsidRPr="00072E76">
        <w:tab/>
        <w:t>Δικαίωμα μονομερούς λύσης της σύμβασης</w:t>
      </w:r>
      <w:bookmarkEnd w:id="71"/>
    </w:p>
    <w:p w:rsidR="00072E76" w:rsidRPr="00072E76" w:rsidRDefault="00072E76" w:rsidP="00072E76">
      <w:r w:rsidRPr="00072E76">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072E76" w:rsidRPr="00072E76" w:rsidRDefault="00072E76" w:rsidP="00072E76">
      <w:r w:rsidRPr="00072E76">
        <w:t xml:space="preserve">α) η σύμβαση υποστεί ουσιώδη τροποποίηση, κατά την έννοια της παρ. 4 του άρθρου 338 του ν. 4412/2016, που θα απαιτούσε νέα διαδικασία σύναψης σύμβασης </w:t>
      </w:r>
    </w:p>
    <w:p w:rsidR="00072E76" w:rsidRPr="00072E76" w:rsidRDefault="00072E76" w:rsidP="00072E76">
      <w:r w:rsidRPr="00072E76">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072E76" w:rsidRPr="00072E76" w:rsidRDefault="00072E76" w:rsidP="00072E76">
      <w:r w:rsidRPr="00072E76">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72E76" w:rsidRPr="00072E76" w:rsidRDefault="00072E76" w:rsidP="00072E76">
      <w:r w:rsidRPr="00072E76">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072E76" w:rsidRPr="00072E76" w:rsidRDefault="00072E76" w:rsidP="00072E76">
      <w:r w:rsidRPr="00072E76">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072E76" w:rsidRPr="00072E76" w:rsidRDefault="00072E76" w:rsidP="00072E76">
      <w:r w:rsidRPr="00072E76">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072E76" w:rsidRPr="00072E76" w:rsidRDefault="00072E76" w:rsidP="00072E76">
      <w:r w:rsidRPr="00072E76">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072E76" w:rsidRPr="00072E76" w:rsidRDefault="00072E76" w:rsidP="00072E76"/>
    <w:p w:rsidR="00072E76" w:rsidRPr="00072E76" w:rsidRDefault="00072E76" w:rsidP="00072E76">
      <w:bookmarkStart w:id="72" w:name="__RefHeading___Toc470009825"/>
      <w:r w:rsidRPr="00072E76">
        <w:t>5.</w:t>
      </w:r>
      <w:r w:rsidRPr="00072E76">
        <w:tab/>
        <w:t>ΕΙΔΙΚΟΙ ΟΡΟΙ ΕΚΤΕΛΕΣΗΣ ΤΗΣ ΣΥΜΒΑΣΗΣ</w:t>
      </w:r>
      <w:bookmarkEnd w:id="72"/>
    </w:p>
    <w:p w:rsidR="00072E76" w:rsidRPr="00072E76" w:rsidRDefault="00072E76" w:rsidP="00072E76">
      <w:bookmarkStart w:id="73" w:name="__RefHeading___Toc470009826"/>
      <w:r w:rsidRPr="00072E76">
        <w:t>5.1</w:t>
      </w:r>
      <w:r w:rsidRPr="00072E76">
        <w:tab/>
        <w:t>Τρόπος πληρωμής</w:t>
      </w:r>
      <w:bookmarkEnd w:id="73"/>
    </w:p>
    <w:p w:rsidR="00072E76" w:rsidRPr="00072E76" w:rsidRDefault="00072E76" w:rsidP="00072E76">
      <w:bookmarkStart w:id="74" w:name="__RefHeading___Toc470009827"/>
      <w:r w:rsidRPr="00072E76">
        <w:t xml:space="preserve">5.1.1. Με τη χορήγηση έντοκης προκαταβολής μέχρι ποσοστού 50% της συμβατικής αξίας χωρίς Φ.Π.Α., με την κατάθεση ισόποσης εγγύησης σύμφωνα με τα οριζόμενα στο άρθρο 72§7 του ν. 4412/2016 και την καταβολή του υπολοίπου μετά την κάθε τμηματική παράδοση κατόπιν του μακροσκοπικού ελέγχου. </w:t>
      </w:r>
      <w:bookmarkStart w:id="75" w:name="_Hlk501186528"/>
      <w:bookmarkStart w:id="76" w:name="_Hlk501186662"/>
      <w:r w:rsidRPr="00072E76">
        <w:t xml:space="preserve">Ως τμηματική παράδοση νοείται η πλήρης παράδοση και εγκατάσταση του εξοπλισμού </w:t>
      </w:r>
      <w:bookmarkStart w:id="77" w:name="_Hlk84841311"/>
      <w:r w:rsidRPr="00072E76">
        <w:t>που περιλαμβάνει</w:t>
      </w:r>
      <w:bookmarkEnd w:id="77"/>
      <w:r w:rsidRPr="00072E76">
        <w:t xml:space="preserve"> τουλάχιστον 1 σταθμό τύπου ΤΣΑ ή 1 σταθμό τύπου  ΥΔΡ ή 1 σταθμό τύπου ΜΕΤ ή μέρους του εξοπλισμού των ΦΣΕ / ΚΣΕ ή ολοκλήρωση της παροχής τουλάχιστον 1 υπηρεσίας. </w:t>
      </w:r>
      <w:bookmarkEnd w:id="75"/>
      <w:r w:rsidRPr="00072E76">
        <w:t>Για κάθε τμηματική παράδοση συντάσσεται πρωτόκολλο παραλαβής.</w:t>
      </w:r>
      <w:bookmarkEnd w:id="76"/>
    </w:p>
    <w:p w:rsidR="00072E76" w:rsidRPr="00072E76" w:rsidRDefault="00072E76" w:rsidP="00072E76">
      <w:r w:rsidRPr="00072E76">
        <w:t>Μετά την κατ’ αρχήν παραλαβή και του τελευταίου σταθμού και τη δοκιμαστική και επιτυχή λειτουργία αυτών όπως προβλέπεται στην παρούσα και αφού έχει ολοκληρωθεί η προβλεπόμενη εκπαίδευση του προσωπικού της υπηρεσίας και οι λοιπές υποχρεώσεις του Αναδόχου, συντάσσεται πρωτόκολλο οριστικής Ποσοτικής και Ποιοτικής Παραλαβής (πέρας δοκιμαστικής λειτουργίας). Ο λογαριασμός που θα το συνοδεύει θα είναι το συνολικό ποσό της σύμβασης. Η αποπληρωμή του θα γίνει με την έγκριση του Πρωτοκόλλου Οριστικής Ποσοτικής και Ποιοτικής Παραλαβής της προμήθειας (του συστήματος), οπότε και θα επιστραφεί το υπόλοιπο της εγγύησης καλής εκτέλεσης και εφόσον έχει ήδη δοθεί η αντίστοιχη εγγύηση καλής λειτουργίας.</w:t>
      </w:r>
    </w:p>
    <w:p w:rsidR="00072E76" w:rsidRPr="00072E76" w:rsidRDefault="00072E76" w:rsidP="00072E76">
      <w:r w:rsidRPr="00072E76">
        <w:t>Μετά το πέρας του ημίσεως χρόνου καλής λειτουργίας (σύμφωνα με την τεχνική προσφορά) και την βεβαιωμένη καλή λειτουργία και εκπλήρωσης των υποχρεώσεων του Αναδόχου, θα συνταχθεί αντίστοιχο πρωτόκολλο και θα επιστραφεί, μετά την έγκρισή του, το 50% της εγγύησης καλής λειτουργίας.</w:t>
      </w:r>
    </w:p>
    <w:p w:rsidR="00072E76" w:rsidRPr="00072E76" w:rsidRDefault="00072E76" w:rsidP="00072E76">
      <w:r w:rsidRPr="00072E76">
        <w:t xml:space="preserve">Μετά την λήξη και του υπόλοιπου χρόνου εγγύησης καλής λειτουργίας και την βεβαιωμένη καλή λειτουργία και εκπλήρωση των υποχρεώσεων του Αναδόχου, θα συνταχθεί αντίστοιχο </w:t>
      </w:r>
      <w:r w:rsidRPr="00072E76">
        <w:lastRenderedPageBreak/>
        <w:t>πρωτόκολλο και θα επιστραφεί, μετά την έγκρισή του, το υπόλοιπο 50% της Εγγύησης Καλής Λειτουργίας, το οποίο αποτελεί και εξόφληση του Αναδόχου.</w:t>
      </w:r>
    </w:p>
    <w:p w:rsidR="00072E76" w:rsidRPr="00072E76" w:rsidRDefault="00072E76" w:rsidP="00072E76">
      <w:r w:rsidRPr="00072E76">
        <w:t>Η ορισμένη επιτροπή παραλαβής εκτελεί όλους τους προβλεπόμενους μακροσκοπικούς ελέγχους, επιτόπιους ελέγχους σε κάθε σταθμό και ελέγχους καλής λειτουργίας του συνολικού συστήματος.</w:t>
      </w:r>
    </w:p>
    <w:p w:rsidR="00072E76" w:rsidRPr="00072E76" w:rsidRDefault="00072E76" w:rsidP="00072E76">
      <w:r w:rsidRPr="00072E76">
        <w:t>Όλοι οι λογαριασμοί είναι ανακεφαλαιωτικοί και από κάθε λογαριασμό αφαιρούνται οι προηγούμενες πληρωμές. Τα πρωτόκολλα παραλαβής κοινοποιούνται υποχρεωτικά στους Αναδόχους.</w:t>
      </w:r>
    </w:p>
    <w:p w:rsidR="00072E76" w:rsidRPr="00072E76" w:rsidRDefault="00072E76" w:rsidP="00072E76">
      <w:r w:rsidRPr="00072E76">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rsidR="00072E76" w:rsidRPr="00072E76" w:rsidRDefault="00072E76" w:rsidP="00072E76"/>
    <w:p w:rsidR="00072E76" w:rsidRPr="00072E76" w:rsidRDefault="00072E76" w:rsidP="00072E76">
      <w:r w:rsidRPr="00072E76">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072E76" w:rsidRPr="00072E76" w:rsidRDefault="00072E76" w:rsidP="00072E76">
      <w:r w:rsidRPr="00072E76">
        <w:t xml:space="preserve">5.1.2.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72E76" w:rsidRPr="00072E76" w:rsidRDefault="00072E76" w:rsidP="00072E76">
      <w:r w:rsidRPr="00072E76">
        <w:t xml:space="preserve">α) Κράτηση ύψους 0,1% η οποία υπολογίζεται επί της αξίας κάθε πληρωμής προ φόρων και κρατήσεων της αρχικής, καθώς και κάθε συμπληρωματικής σύμβασης. Το ποσό αυτό παρακρατείται σε κάθε πληρωμή από την Αναθέτουσα </w:t>
      </w:r>
      <w:proofErr w:type="spellStart"/>
      <w:r w:rsidRPr="00072E76">
        <w:t>Αρχήυπέρ</w:t>
      </w:r>
      <w:proofErr w:type="spellEnd"/>
      <w:r w:rsidRPr="00072E76">
        <w:t>, στο όνομα και για λογαριασμό της Ενιαίας Αρχής Δημόσιων Συμβάσεων (ΕΑΔΗΣΥ) και κατατίθεται σε ειδικό τραπεζικό λογαριασμό, η διαχείριση του οποίου γίνεται από την Αρχή (άρθρα 347 παρ. 1 και 350 παρ. 3 του Ν.4412/2016, όπως ισχύει).</w:t>
      </w:r>
    </w:p>
    <w:p w:rsidR="00072E76" w:rsidRPr="00072E76" w:rsidRDefault="00072E76" w:rsidP="00072E76">
      <w:r w:rsidRPr="00072E76">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 Αναθέτουσα </w:t>
      </w:r>
      <w:proofErr w:type="spellStart"/>
      <w:r w:rsidRPr="00072E76">
        <w:t>Αρχήστο</w:t>
      </w:r>
      <w:proofErr w:type="spellEnd"/>
      <w:r w:rsidRPr="00072E76">
        <w:t xml:space="preserve"> όνομα και για λογαριασμό του Υπουργείου Ψηφιακής Διακυβέρνησης σύμφωνα με την παρ. 6 του άρθρου 36 σε συνδυασμό με την παρ. 12 του άρθρου 258 του ν. 4412/2016. Μέχρι την έκδοση της κοινής απόφασης της παρ. 6 του άρθρου 36 του ν. 4412/2016, η ως άνω κράτηση δεν επιβάλλεται.</w:t>
      </w:r>
    </w:p>
    <w:p w:rsidR="00072E76" w:rsidRPr="00072E76" w:rsidRDefault="00072E76" w:rsidP="00072E76">
      <w:r w:rsidRPr="00072E76">
        <w:t>Οι υπέρ τρίτων κρατήσεις υπόκεινται στο εκάστοτε ισχύον αναλογικό τέλος χαρτοσήμου 3% και στην επ’ αυτού εισφορά υπέρ ΟΓΑ  20%.</w:t>
      </w:r>
    </w:p>
    <w:p w:rsidR="00072E76" w:rsidRPr="00072E76" w:rsidRDefault="00072E76" w:rsidP="00072E76">
      <w:r w:rsidRPr="00072E76">
        <w:t>Με κάθε πληρωμή θα γίνεται η προβλεπόμενη από την κείμενη νομοθεσία παρακράτηση φόρου εισοδήματος αξίας 4% επί του καθαρού ποσού που αφορά τα υλικά και 8% επί του καθαρού ποσού που αφορά τις υπηρεσίες.</w:t>
      </w:r>
    </w:p>
    <w:p w:rsidR="00072E76" w:rsidRPr="00072E76" w:rsidRDefault="00072E76" w:rsidP="00072E76">
      <w:r w:rsidRPr="00072E76">
        <w:t xml:space="preserve">5.1.3. Σε περίπτωση υποβολής ηλεκτρονικού τιμολογίου,  ο ανάδοχος συμπληρώνει στο πεδίο BT-11: Στοιχείο αναφοράς αγαθού του Εθνικού </w:t>
      </w:r>
      <w:proofErr w:type="spellStart"/>
      <w:r w:rsidRPr="00072E76">
        <w:t>Μορφότυπου</w:t>
      </w:r>
      <w:proofErr w:type="spellEnd"/>
      <w:r w:rsidRPr="00072E76">
        <w:t xml:space="preserve"> Ηλεκτρονικού Τιμολογίου τον «Κωδικοποιημένο </w:t>
      </w:r>
      <w:proofErr w:type="spellStart"/>
      <w:r w:rsidRPr="00072E76">
        <w:t>Ενάριθμο</w:t>
      </w:r>
      <w:proofErr w:type="spellEnd"/>
      <w:r w:rsidRPr="00072E76">
        <w:t>»</w:t>
      </w:r>
    </w:p>
    <w:p w:rsidR="00072E76" w:rsidRPr="00072E76" w:rsidRDefault="00072E76" w:rsidP="00072E76"/>
    <w:p w:rsidR="00072E76" w:rsidRPr="00072E76" w:rsidRDefault="00072E76" w:rsidP="00072E76">
      <w:r w:rsidRPr="00072E76">
        <w:t>5.2</w:t>
      </w:r>
      <w:r w:rsidRPr="00072E76">
        <w:tab/>
        <w:t>Κήρυξη οικονομικού φορέα εκπτώτου - Κυρώσεις</w:t>
      </w:r>
      <w:bookmarkEnd w:id="74"/>
    </w:p>
    <w:p w:rsidR="00072E76" w:rsidRPr="00072E76" w:rsidRDefault="00072E76" w:rsidP="00072E76">
      <w:r w:rsidRPr="00072E76">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072E76" w:rsidRPr="00072E76" w:rsidRDefault="00072E76" w:rsidP="00072E76">
      <w:r w:rsidRPr="00072E76">
        <w:t>α) στην περίπτωση της παρ. 7 του άρθρου 105 του ν. 4412/2016 περί κατακύρωσης και σύναψης σύμβασης,</w:t>
      </w:r>
    </w:p>
    <w:p w:rsidR="00072E76" w:rsidRPr="00072E76" w:rsidRDefault="00072E76" w:rsidP="00072E76">
      <w:r w:rsidRPr="00072E76">
        <w:lastRenderedPageBreak/>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072E76" w:rsidRPr="00072E76" w:rsidRDefault="00072E76" w:rsidP="00072E76">
      <w:r w:rsidRPr="00072E76">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072E76" w:rsidRPr="00072E76" w:rsidRDefault="00072E76" w:rsidP="00072E76">
      <w:r w:rsidRPr="00072E76">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334 σε συνδυασμό με το άρθρο 203 του ν. 4412/2016 και περιλαμβάνει συγκεκριμένη περιγραφή των ενεργειών στις οποίες οφείλει να προβεί ο ανάδοχος, προκειμένου να συμμορφωθεί, μέσα σε εύλογη προθεσμία από την κοινοποίηση της ανωτέρω όχλησης, που θα οριστεί στο ίδιο το κείμενο της όχλησης και η οποία προθεσμία σε καμία περίπτωση δεν μπορεί να είναι μικρότερη των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072E76" w:rsidRPr="00072E76" w:rsidRDefault="00072E76" w:rsidP="00072E76">
      <w:r w:rsidRPr="00072E76">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072E76" w:rsidRPr="00072E76" w:rsidRDefault="00072E76" w:rsidP="00072E76">
      <w:r w:rsidRPr="00072E76">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072E76" w:rsidRPr="00072E76" w:rsidRDefault="00072E76" w:rsidP="00072E76">
      <w:r w:rsidRPr="00072E76">
        <w:t>α) ολική κατάπτωση της εγγύησης συμμετοχής ή καλής εκτέλεσης της σύμβασης κατά περίπτωση,</w:t>
      </w:r>
    </w:p>
    <w:p w:rsidR="00072E76" w:rsidRPr="00072E76" w:rsidRDefault="00072E76" w:rsidP="00072E76">
      <w:r w:rsidRPr="00072E76">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072E76" w:rsidRPr="00072E76" w:rsidRDefault="00072E76" w:rsidP="00072E76">
      <w:r w:rsidRPr="00072E76">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072E76" w:rsidRPr="00072E76" w:rsidRDefault="00072E76" w:rsidP="00072E76">
      <w:r w:rsidRPr="00072E76">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072E76" w:rsidRPr="00072E76" w:rsidRDefault="00072E76" w:rsidP="00072E76">
      <w:r w:rsidRPr="00072E76">
        <w:t>ΤΚΤ = Τιμή κατακύρωσης της προμήθειας των αγαθών, που δεν προσκομίστηκαν προσηκόντως από τον έκπτωτο οικονομικό φορέα στον νέο ανάδοχο.</w:t>
      </w:r>
    </w:p>
    <w:p w:rsidR="00072E76" w:rsidRPr="00072E76" w:rsidRDefault="00072E76" w:rsidP="00072E76">
      <w:r w:rsidRPr="00072E76">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072E76" w:rsidRPr="00072E76" w:rsidRDefault="00072E76" w:rsidP="00072E76">
      <w:r w:rsidRPr="00072E76">
        <w:lastRenderedPageBreak/>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072E76" w:rsidRPr="00072E76" w:rsidRDefault="00072E76" w:rsidP="00072E76">
      <w:r w:rsidRPr="00072E76">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72E76" w:rsidRPr="00072E76" w:rsidRDefault="00072E76" w:rsidP="00072E76">
      <w:r w:rsidRPr="00072E76">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072E76" w:rsidRPr="00072E76" w:rsidRDefault="00072E76" w:rsidP="00072E76">
      <w:r w:rsidRPr="00072E76">
        <w:t>5.2.2.  Αν το υλικό φορτωθεί – παραδοθεί- εγκατασταθεί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072E76" w:rsidRPr="00072E76" w:rsidRDefault="00072E76" w:rsidP="00072E76">
      <w:r w:rsidRPr="00072E76">
        <w:t xml:space="preserve">Το παραπάνω πρόστιμο υπολογίζεται επί της συμβατικής αξίας των εκπρόθεσμα παραδοθέντων ή </w:t>
      </w:r>
      <w:proofErr w:type="spellStart"/>
      <w:r w:rsidRPr="00072E76">
        <w:t>εγκατεστηθέντων</w:t>
      </w:r>
      <w:proofErr w:type="spellEnd"/>
      <w:r w:rsidRPr="00072E76">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072E76" w:rsidRPr="00072E76" w:rsidRDefault="00072E76" w:rsidP="00072E76">
      <w:r w:rsidRPr="00072E76">
        <w:t>Κατά τον υπολογισμό του χρονικού διαστήματος της καθυστέρησης για φόρτωση- παράδοση- εγκατάσταση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072E76" w:rsidRPr="00072E76" w:rsidRDefault="00072E76" w:rsidP="00072E76">
      <w:r w:rsidRPr="00072E76">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rsidR="00072E76" w:rsidRPr="00072E76" w:rsidRDefault="00072E76" w:rsidP="00072E76">
      <w:r w:rsidRPr="00072E76">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072E76" w:rsidRPr="00072E76" w:rsidRDefault="00072E76" w:rsidP="00072E76">
      <w:r w:rsidRPr="00072E76">
        <w:t>Σε περίπτωση ένωσης οικονομικών φορέων, το πρόστιμο και οι τόκοι επιβάλλονται αναλόγως σε όλα τα μέλη της ένωσης.</w:t>
      </w:r>
    </w:p>
    <w:p w:rsidR="00072E76" w:rsidRPr="00072E76" w:rsidRDefault="00072E76" w:rsidP="00072E76"/>
    <w:p w:rsidR="00072E76" w:rsidRPr="00072E76" w:rsidRDefault="00072E76" w:rsidP="00072E76">
      <w:bookmarkStart w:id="78" w:name="__RefHeading___Toc470009828"/>
      <w:bookmarkStart w:id="79" w:name="_Hlk501187633"/>
      <w:r w:rsidRPr="00072E76">
        <w:t>5.3</w:t>
      </w:r>
      <w:r w:rsidRPr="00072E76">
        <w:tab/>
        <w:t>Διοικητικές προσφυγές κατά τη διαδικασία εκτέλεσης των συμβάσεων</w:t>
      </w:r>
      <w:bookmarkEnd w:id="78"/>
    </w:p>
    <w:bookmarkEnd w:id="79"/>
    <w:p w:rsidR="00072E76" w:rsidRPr="00072E76" w:rsidRDefault="00072E76" w:rsidP="00072E76">
      <w:r w:rsidRPr="00072E76">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072E76" w:rsidRPr="00072E76" w:rsidRDefault="00072E76" w:rsidP="00072E76">
      <w:r w:rsidRPr="00072E76">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072E76">
        <w:t>β΄</w:t>
      </w:r>
      <w:proofErr w:type="spellEnd"/>
      <w:r w:rsidRPr="00072E76">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w:t>
      </w:r>
    </w:p>
    <w:p w:rsidR="00072E76" w:rsidRPr="00072E76" w:rsidRDefault="00072E76" w:rsidP="00072E76">
      <w:r w:rsidRPr="00072E76">
        <w:lastRenderedPageBreak/>
        <w: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072E76" w:rsidRPr="00072E76" w:rsidRDefault="00072E76" w:rsidP="00072E76"/>
    <w:p w:rsidR="00072E76" w:rsidRPr="00072E76" w:rsidRDefault="00072E76" w:rsidP="00072E76">
      <w:r w:rsidRPr="00072E76">
        <w:t>5.4</w:t>
      </w:r>
      <w:r w:rsidRPr="00072E76">
        <w:tab/>
        <w:t>Δικαστική Επίλυση Διαφορών</w:t>
      </w:r>
    </w:p>
    <w:p w:rsidR="00072E76" w:rsidRPr="00072E76" w:rsidRDefault="00072E76" w:rsidP="00072E76">
      <w:r w:rsidRPr="00072E76">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072E76">
        <w:t>ενδικοφανούς</w:t>
      </w:r>
      <w:proofErr w:type="spellEnd"/>
      <w:r w:rsidRPr="00072E76">
        <w:t xml:space="preserve"> διαδικασίας που προβλέπεται στο άρθρο 205 σε συνδυασμό με το άρθρο 205Α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072E76">
        <w:t>ενδικοφανούς</w:t>
      </w:r>
      <w:proofErr w:type="spellEnd"/>
      <w:r w:rsidRPr="00072E76">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072E76" w:rsidRPr="00072E76" w:rsidRDefault="00072E76" w:rsidP="00072E76">
      <w:bookmarkStart w:id="80" w:name="__RefHeading___Toc470009829"/>
      <w:r w:rsidRPr="00072E76">
        <w:t>6.</w:t>
      </w:r>
      <w:r w:rsidRPr="00072E76">
        <w:tab/>
        <w:t>ΧΡΟΝΟΣ ΚΑΙ ΤΡΟΠΟΣ ΕΚΤΕΛΕΣΗΣ</w:t>
      </w:r>
      <w:bookmarkEnd w:id="80"/>
    </w:p>
    <w:p w:rsidR="00072E76" w:rsidRPr="00072E76" w:rsidRDefault="00072E76" w:rsidP="00072E76">
      <w:bookmarkStart w:id="81" w:name="__RefHeading___Toc470009830"/>
      <w:bookmarkEnd w:id="81"/>
      <w:r w:rsidRPr="00072E76">
        <w:t xml:space="preserve">6.1 </w:t>
      </w:r>
      <w:r w:rsidRPr="00072E76">
        <w:tab/>
        <w:t xml:space="preserve">Χρόνος παράδοσης </w:t>
      </w:r>
    </w:p>
    <w:p w:rsidR="00072E76" w:rsidRPr="00072E76" w:rsidRDefault="00072E76" w:rsidP="00072E76">
      <w:r w:rsidRPr="00072E76">
        <w:t>6.1.1. Η συνολική προθεσμία εκτέλεσης της προμήθειας/ εγκατάστασης ορίζεται σε δώδεκα(12) μήνες από την ημερομηνία υπογραφής της σύμβασης (9 μήνες για την παράδοση και 3 μήνες για την εκπαίδευση, την τεκμηρίωση και τη δοκιμαστική λειτουργία του συνολικού συστήματος).</w:t>
      </w:r>
    </w:p>
    <w:p w:rsidR="00072E76" w:rsidRPr="00072E76" w:rsidRDefault="00072E76" w:rsidP="00072E76">
      <w:r w:rsidRPr="00072E76">
        <w:t>Ο συμβατικός χρόνος εκτέλεσης της προμήθειας/ εγκατάστασης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p>
    <w:p w:rsidR="00072E76" w:rsidRPr="00072E76" w:rsidRDefault="00072E76" w:rsidP="00072E76">
      <w:r w:rsidRPr="00072E76">
        <w:t xml:space="preserve">Στην περίπτωση παράτασης του συμβατικού χρόνου παράδοσης, ο χρόνος παράτασης δεν συνυπολογίζεται στον συμβατικό χρόνο παράδοσης. </w:t>
      </w:r>
    </w:p>
    <w:p w:rsidR="00072E76" w:rsidRPr="00072E76" w:rsidRDefault="00072E76" w:rsidP="00072E76">
      <w:r w:rsidRPr="00072E76">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072E76" w:rsidRPr="00072E76" w:rsidRDefault="00072E76" w:rsidP="00072E76">
      <w:r w:rsidRPr="00072E76">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072E76">
        <w:t>περ</w:t>
      </w:r>
      <w:proofErr w:type="spellEnd"/>
      <w:r w:rsidRPr="00072E76">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072E76" w:rsidRPr="00072E76" w:rsidRDefault="00072E76" w:rsidP="00072E76">
      <w:r w:rsidRPr="00072E76">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72E76" w:rsidRPr="00072E76" w:rsidRDefault="00072E76" w:rsidP="00072E76">
      <w:r w:rsidRPr="00072E76">
        <w:t>6.1.3. Ο ανάδοχος υποχρεούται να ειδοποιεί την υπηρεσία που εκτελεί την προμήθεια και την επιτροπή παραλαβής, για την ημερομηνία που προτίθεται να παραδώσει εγκατεστημένο και πλήρως λειτουργικό μέρος του συμβατικού αντικειμένου, τουλάχιστον πέντε (5) εργάσιμες ημέρες νωρίτερα.</w:t>
      </w:r>
    </w:p>
    <w:p w:rsidR="00072E76" w:rsidRPr="00072E76" w:rsidRDefault="00072E76" w:rsidP="00072E76"/>
    <w:p w:rsidR="00072E76" w:rsidRPr="00072E76" w:rsidRDefault="00072E76" w:rsidP="00072E76">
      <w:bookmarkStart w:id="82" w:name="__RefHeading___Toc470009831"/>
      <w:bookmarkEnd w:id="82"/>
      <w:r w:rsidRPr="00072E76">
        <w:lastRenderedPageBreak/>
        <w:t xml:space="preserve">6.2 </w:t>
      </w:r>
      <w:r w:rsidRPr="00072E76">
        <w:tab/>
        <w:t xml:space="preserve">Παραλαβή - Χρόνος και τρόπος παραλαβής </w:t>
      </w:r>
    </w:p>
    <w:p w:rsidR="00072E76" w:rsidRPr="00072E76" w:rsidRDefault="00072E76" w:rsidP="00072E76">
      <w:r w:rsidRPr="00072E76">
        <w:t xml:space="preserve">6.2.1. H παραλαβή του συμβατικού αντικειμένου γίνεται από επιτροπές, πρωτοβάθμιες ή και δευτεροβάθμιες, που συγκροτούνται σύμφωνα με την παρ. 11 </w:t>
      </w:r>
      <w:proofErr w:type="spellStart"/>
      <w:r w:rsidRPr="00072E76">
        <w:t>εδ</w:t>
      </w:r>
      <w:proofErr w:type="spellEnd"/>
      <w:r w:rsidRPr="00072E76">
        <w:t>. β του άρθρου 221 του Ν.4412/16  σύμφωνα με τα οριζόμενα στο άρθρο 208 του ως άνω νόμου και το σχέδιο σύμβασης που διατίθεται ως παραρτήματα της παρούσας. Κατά την διαδικασία παραλαβής διενεργείται ποσοτικός και ποιοτικός και εφόσον το επιθυμεί μπορεί να παραστεί και ο ανάδοχος. Ο ποιοτικός έλεγχος των υλικών γίνεται μακροσκοπικά.</w:t>
      </w:r>
    </w:p>
    <w:p w:rsidR="00072E76" w:rsidRPr="00072E76" w:rsidRDefault="00072E76" w:rsidP="00072E76">
      <w:r w:rsidRPr="00072E76">
        <w:t>Το κόστος της διενέργειας των ελέγχων βαρύνει τον ανάδοχο.</w:t>
      </w:r>
    </w:p>
    <w:p w:rsidR="00072E76" w:rsidRPr="00072E76" w:rsidRDefault="00072E76" w:rsidP="00072E76">
      <w:r w:rsidRPr="00072E76">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αγαθών - υλικών) σύμφωνα με την παρ.3 του άρθρου 208 του ν. 4412/16.</w:t>
      </w:r>
    </w:p>
    <w:p w:rsidR="00072E76" w:rsidRPr="00072E76" w:rsidRDefault="00072E76" w:rsidP="00072E76">
      <w:r w:rsidRPr="00072E76">
        <w:t>Τα πρωτόκολλα που συντάσσονται από τις επιτροπές (πρωτοβάθμιες – δευτεροβάθμιες) κοινοποιούνται υποχρεωτικά και στους αναδόχους.</w:t>
      </w:r>
    </w:p>
    <w:p w:rsidR="00072E76" w:rsidRPr="00072E76" w:rsidRDefault="00072E76" w:rsidP="00072E76">
      <w:r w:rsidRPr="00072E76">
        <w:t xml:space="preserve">Υλικά- Αγαθά που απορρίφθηκαν ή κρίθηκαν </w:t>
      </w:r>
      <w:proofErr w:type="spellStart"/>
      <w:r w:rsidRPr="00072E76">
        <w:t>παραληπτέα</w:t>
      </w:r>
      <w:proofErr w:type="spellEnd"/>
      <w:r w:rsidRPr="00072E76">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proofErr w:type="spellStart"/>
      <w:r w:rsidRPr="00072E76">
        <w:t>αναδόχουή</w:t>
      </w:r>
      <w:proofErr w:type="spellEnd"/>
      <w:r w:rsidRPr="00072E76">
        <w:t xml:space="preserve"> αυτεπάγγελτα σύμφωνα με την παρ. 5 του άρθρου 208 σε συνδυασμό με το άρθρο 334 του ν.4412/16. Τα έξοδα βαρύνουν σε κάθε περίπτωση τον ανάδοχο.</w:t>
      </w:r>
    </w:p>
    <w:p w:rsidR="00072E76" w:rsidRPr="00072E76" w:rsidRDefault="00072E76" w:rsidP="00072E76">
      <w:r w:rsidRPr="00072E76">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72E76">
        <w:t>κατ΄</w:t>
      </w:r>
      <w:proofErr w:type="spellEnd"/>
      <w:r w:rsidRPr="00072E76">
        <w:t xml:space="preserve"> έφεση των οικείων </w:t>
      </w:r>
      <w:proofErr w:type="spellStart"/>
      <w:r w:rsidRPr="00072E76">
        <w:t>αντιδειγμάτων</w:t>
      </w:r>
      <w:proofErr w:type="spellEnd"/>
      <w:r w:rsidRPr="00072E76">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072E76" w:rsidRPr="00072E76" w:rsidRDefault="00072E76" w:rsidP="00072E76">
      <w:r w:rsidRPr="00072E76">
        <w:t xml:space="preserve">Το αποτέλεσμα  της </w:t>
      </w:r>
      <w:proofErr w:type="spellStart"/>
      <w:r w:rsidRPr="00072E76">
        <w:t>κατ΄</w:t>
      </w:r>
      <w:proofErr w:type="spellEnd"/>
      <w:r w:rsidRPr="00072E76">
        <w:t xml:space="preserve"> έφεση εξέτασης είναι υποχρεωτικό και τελεσίδικο και για τα δύο μέρη.</w:t>
      </w:r>
    </w:p>
    <w:p w:rsidR="00072E76" w:rsidRPr="00072E76" w:rsidRDefault="00072E76" w:rsidP="00072E76">
      <w:r w:rsidRPr="00072E76">
        <w:t xml:space="preserve">Ο ανάδοχος δεν μπορεί να ζητήσει παραπομπή σε δευτεροβάθμια επιτροπή παραλαβής μετά τα αποτελέσματα της </w:t>
      </w:r>
      <w:proofErr w:type="spellStart"/>
      <w:r w:rsidRPr="00072E76">
        <w:t>κατ΄</w:t>
      </w:r>
      <w:proofErr w:type="spellEnd"/>
      <w:r w:rsidRPr="00072E76">
        <w:t xml:space="preserve"> έφεση εξέτασης.</w:t>
      </w:r>
    </w:p>
    <w:p w:rsidR="00072E76" w:rsidRPr="00072E76" w:rsidRDefault="00072E76" w:rsidP="00072E76">
      <w:r w:rsidRPr="00072E76">
        <w:t xml:space="preserve">6.2.2. Η παραλαβή των υλικών – αγαθών και η έκδοση των σχετικών πρωτοκόλλων παραλαβής πραγματοποιείται εντός δέκα (10) ημερών το πολύ από την ημερομηνία διενέργειας των προβλεπόμενων ελέγχων. </w:t>
      </w:r>
    </w:p>
    <w:p w:rsidR="00072E76" w:rsidRPr="00072E76" w:rsidRDefault="00072E76" w:rsidP="00072E76">
      <w:r w:rsidRPr="00072E76">
        <w:t>Αν η παραλαβή των υλικών - αγαθών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072E76" w:rsidRPr="00072E76" w:rsidRDefault="00072E76" w:rsidP="00072E76">
      <w:r w:rsidRPr="00072E76">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072E76" w:rsidRPr="00072E76" w:rsidRDefault="00072E76" w:rsidP="00072E76"/>
    <w:p w:rsidR="00072E76" w:rsidRPr="00072E76" w:rsidRDefault="00072E76" w:rsidP="00072E76">
      <w:bookmarkStart w:id="83" w:name="__RefHeading___Toc470009832"/>
      <w:bookmarkEnd w:id="83"/>
      <w:r w:rsidRPr="00072E76">
        <w:t>6.3</w:t>
      </w:r>
      <w:r w:rsidRPr="00072E76">
        <w:tab/>
        <w:t>Ειδικοί όροι ναύλωσης - ασφάλισης και ανακοίνωσης φόρτωσης και  ποιοτικού ελέγχου στο εξωτερικό</w:t>
      </w:r>
    </w:p>
    <w:p w:rsidR="00072E76" w:rsidRPr="00072E76" w:rsidRDefault="00072E76" w:rsidP="00072E76">
      <w:r w:rsidRPr="00072E76">
        <w:lastRenderedPageBreak/>
        <w:t xml:space="preserve">Μέχρι να τεθεί ολόκληρο το έργο σε πλήρη λειτουργία θεματοφύλακας των υλικών που έχουν προσκομισθεί ορίζεται ο προμηθευτής. Τα υλικά αυτά μπορούν να αποθηκευτούν σε αποθήκες ή χώρους της Υπηρεσίας μετά από αίτημα του προμηθευτή, την ευθύνη όμως θα εξακολουθήσει να έχει ο προμηθευτής. Όλα τα υλικά και εγκαταστάσεις των εργασιών θα πρέπει να ασφαλιστούν από τον προμηθευτή κατά παντός κινδύνου (κλοπή, πυρκαγιά </w:t>
      </w:r>
      <w:proofErr w:type="spellStart"/>
      <w:r w:rsidRPr="00072E76">
        <w:t>κ.λ.π</w:t>
      </w:r>
      <w:proofErr w:type="spellEnd"/>
      <w:r w:rsidRPr="00072E76">
        <w:t>.) σε αναγνωρισμένη ασφαλιστική εταιρεία και μέχρι την ημερομηνία οριστικής παράδοσης του συστήματος. Το ασφαλιστήριο συμβόλαιο θα προσκομισθεί στην Υπηρεσία και αποτελεί προϋπόθεση για την προώθηση των αντίστοιχων πληρωμών</w:t>
      </w:r>
    </w:p>
    <w:p w:rsidR="00072E76" w:rsidRPr="00072E76" w:rsidRDefault="00072E76" w:rsidP="00072E76">
      <w:r w:rsidRPr="00072E76">
        <w:t>Πριν από τη φόρτωσή του εξοπλισμού που περιλαμβάνει η σύμβαση στο εργοστάσιο του οίκου κατασκευής  ή κατά το στάδιο κατασκευής τους, η αναθέτουσα αρχή μπορεί αποστείλει επιτροπή από εξειδικευμένους υπαλλήλους ή την επιτροπή παραλαβής, για τη διενέργεια του ελέγχου σύμφωνα με τις κείμενες διατάξεις περί δημοσίων συμβάσεων, τον ποιοτικό και ποσοτικό έλεγχο. Στην περίπτωση αυτή, η οριστική παραλαβή του υλικού γίνεται στην Ελλάδα από την αρμόδια επιτροπή παραλαβής, σύμφωνα με τα οριζόμενα από τη σύμβαση και τις κείμενες διατάξεις. Έναντι της επιτροπής ο οικονομικός φορέας έχει τις εξής υποχρεώσεις:</w:t>
      </w:r>
    </w:p>
    <w:p w:rsidR="00072E76" w:rsidRPr="00072E76" w:rsidRDefault="00072E76" w:rsidP="00072E76">
      <w:r w:rsidRPr="00072E76">
        <w:t xml:space="preserve">α) Να διαθέτει τα απαιτούμενα τεχνικά μέσα και εργατοτεχνικό προσωπικό, ιδίως για μετακίνηση, μετατόπιση, </w:t>
      </w:r>
      <w:proofErr w:type="spellStart"/>
      <w:r w:rsidRPr="00072E76">
        <w:t>στοιβασία</w:t>
      </w:r>
      <w:proofErr w:type="spellEnd"/>
      <w:r w:rsidRPr="00072E76">
        <w:t xml:space="preserve"> του προς έλεγχο υλικού και για κάθε άλλη ενέργεια που είναι αναγκαία για τον έλεγχο.</w:t>
      </w:r>
    </w:p>
    <w:p w:rsidR="00072E76" w:rsidRPr="00072E76" w:rsidRDefault="00072E76" w:rsidP="00072E76">
      <w:r w:rsidRPr="00072E76">
        <w:t>β) Να διαθέτει για την εξακρίβωση της ποιότητας του προς έλεγχο υλικού όσα τεχνικά μέσα έχει στην διάθεση του.</w:t>
      </w:r>
    </w:p>
    <w:p w:rsidR="00072E76" w:rsidRPr="00072E76" w:rsidRDefault="00072E76" w:rsidP="00072E76">
      <w:r w:rsidRPr="00072E76">
        <w:t>γ) Να ενημερώνει την επιτροπή, σχετικά με την πορεία εκτέλεσης της παραγγελίας.</w:t>
      </w:r>
    </w:p>
    <w:p w:rsidR="00072E76" w:rsidRPr="00072E76" w:rsidRDefault="00072E76" w:rsidP="00072E76">
      <w:r w:rsidRPr="00072E76">
        <w:t>δ) Σε περίπτωση απόρριψης των υλικών, ο οικονομικός φορέας βαρύνεται με τα έξοδα που θα προκύψουν από τον απαιτούμενο έλεγχο ή ελέγχους.</w:t>
      </w:r>
    </w:p>
    <w:p w:rsidR="00072E76" w:rsidRPr="00072E76" w:rsidRDefault="00072E76" w:rsidP="00072E76">
      <w:r w:rsidRPr="00072E76">
        <w:t xml:space="preserve">Η αξία των δειγμάτων και </w:t>
      </w:r>
      <w:proofErr w:type="spellStart"/>
      <w:r w:rsidRPr="00072E76">
        <w:t>αντιδειγμάτων</w:t>
      </w:r>
      <w:proofErr w:type="spellEnd"/>
      <w:r w:rsidRPr="00072E76">
        <w:t xml:space="preserve"> του υλικού, όπου τούτο απαιτείται, κατά τον έλεγχο στο εξωτερικό, βαρύνει τον οικονομικό φορέα.</w:t>
      </w:r>
    </w:p>
    <w:p w:rsidR="00072E76" w:rsidRPr="00072E76" w:rsidRDefault="00072E76" w:rsidP="00072E76">
      <w:r w:rsidRPr="00072E76">
        <w:t>Η επιτροπή υποχρεούται, αν διαπιστωθεί κατά τον έλεγχο ότι το υλικό δεν ανταποκρίνεται στις απαιτήσεις της σύμβασης, να μην εκδώσει το πιστοποιητικό ελέγχου.</w:t>
      </w:r>
    </w:p>
    <w:p w:rsidR="00072E76" w:rsidRPr="00072E76" w:rsidRDefault="00072E76" w:rsidP="00072E76"/>
    <w:p w:rsidR="00072E76" w:rsidRPr="00072E76" w:rsidRDefault="00072E76" w:rsidP="00072E76">
      <w:pPr>
        <w:rPr>
          <w:rFonts w:eastAsia="SimSun"/>
        </w:rPr>
      </w:pPr>
      <w:bookmarkStart w:id="84" w:name="__RefHeading___Toc470009833"/>
      <w:bookmarkEnd w:id="84"/>
      <w:r w:rsidRPr="00072E76">
        <w:t xml:space="preserve">6.4 </w:t>
      </w:r>
      <w:r w:rsidRPr="00072E76">
        <w:tab/>
        <w:t>Απόρριψη συμβατικών αγαθών – Αντικατάσταση</w:t>
      </w:r>
    </w:p>
    <w:p w:rsidR="00072E76" w:rsidRPr="00072E76" w:rsidRDefault="00072E76" w:rsidP="00072E76">
      <w:pPr>
        <w:rPr>
          <w:rFonts w:eastAsia="SimSun"/>
        </w:rPr>
      </w:pPr>
      <w:r w:rsidRPr="00072E76">
        <w:rPr>
          <w:rFonts w:eastAsia="SimSun"/>
        </w:rPr>
        <w:t>6.4.1. Σε περίπτωση οριστικής απόρριψης ολόκληρης ή μέρους της συμβατικής ποσότητας των αγαθών -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72E76" w:rsidRPr="00072E76" w:rsidRDefault="00072E76" w:rsidP="00072E76">
      <w:pPr>
        <w:rPr>
          <w:rFonts w:eastAsia="SimSun"/>
        </w:rPr>
      </w:pPr>
      <w:r w:rsidRPr="00072E76">
        <w:rPr>
          <w:rFonts w:eastAsia="SimSun"/>
        </w:rPr>
        <w:t xml:space="preserve">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w:t>
      </w:r>
      <w:proofErr w:type="spellStart"/>
      <w:r w:rsidRPr="00072E76">
        <w:rPr>
          <w:rFonts w:eastAsia="SimSun"/>
        </w:rPr>
        <w:t>εκπρόθεσμηςπαράδοσης.Αν</w:t>
      </w:r>
      <w:proofErr w:type="spellEnd"/>
      <w:r w:rsidRPr="00072E76">
        <w:rPr>
          <w:rFonts w:eastAsia="SimSun"/>
        </w:rPr>
        <w:t xml:space="preserve">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72E76" w:rsidRPr="00072E76" w:rsidRDefault="00072E76" w:rsidP="00072E76">
      <w:pPr>
        <w:rPr>
          <w:rFonts w:eastAsia="SimSun"/>
        </w:rPr>
      </w:pPr>
      <w:r w:rsidRPr="00072E76">
        <w:rPr>
          <w:rFonts w:eastAsia="SimSun"/>
        </w:rPr>
        <w:t>6.4.3. Η επιστροφή των αγαθών - υλικών που απορρίφθηκαν γίνεται σύμφωνα με τα προβλεπόμενα στις παρ. 2 και 3  του άρθρου 213 του ν. 4412/2016.</w:t>
      </w:r>
    </w:p>
    <w:p w:rsidR="00072E76" w:rsidRPr="00072E76" w:rsidRDefault="00072E76" w:rsidP="00072E76"/>
    <w:p w:rsidR="00072E76" w:rsidRPr="00072E76" w:rsidRDefault="00072E76" w:rsidP="00072E76">
      <w:bookmarkStart w:id="85" w:name="_Toc513472304"/>
      <w:bookmarkStart w:id="86" w:name="_Toc517124880"/>
      <w:r w:rsidRPr="00072E76">
        <w:t>6.5</w:t>
      </w:r>
      <w:r w:rsidRPr="00072E76">
        <w:tab/>
        <w:t>Δείγματα – Δειγματοληψία – Εργαστηριακός έλεγχος</w:t>
      </w:r>
      <w:bookmarkEnd w:id="85"/>
      <w:bookmarkEnd w:id="86"/>
      <w:r w:rsidRPr="00072E76">
        <w:t xml:space="preserve"> – Επίδειξη Παρόμοιων Συστημάτων</w:t>
      </w:r>
    </w:p>
    <w:p w:rsidR="00072E76" w:rsidRPr="00072E76" w:rsidRDefault="00072E76" w:rsidP="00072E76">
      <w:r w:rsidRPr="00072E76">
        <w:t xml:space="preserve">Η επιτροπή αξιολόγησης, κατά το στάδιο της τεχνικής αξιολόγησης δύναται να καλέσει τους συμμετέχοντες να προσκομίσουν για δειγματισμό και επίδειξη λειτουργίας οποιοδήποτε μέρος του εξοπλισμού ή των λογισμικών που προσφέρουν και κατά την κρίση της θεωρείται σημαντικό για την τεχνική αξιολόγηση των προσφορών, θέτοντάς τους προθεσμία που δε μπορεί να υπερβαίνει τις δέκα (10) εργάσιμες ημέρες από την κοινοποίηση της σχετικής ειδικής πρόσκλησης. </w:t>
      </w:r>
    </w:p>
    <w:p w:rsidR="00072E76" w:rsidRPr="00072E76" w:rsidRDefault="00072E76" w:rsidP="00072E76">
      <w:r w:rsidRPr="00072E76">
        <w:lastRenderedPageBreak/>
        <w:t xml:space="preserve">Σε περίπτωση που ο συμμετέχον δεν ανταποκριθεί στη συγκεκριμένη πρόσκληση ή τα προσφερόμενα δείγματα ή η λειτουργία τους δε ανταποκρίνονται στις προδιαγραφές, τότε αυτός θα αποκλείεται. </w:t>
      </w:r>
    </w:p>
    <w:p w:rsidR="00072E76" w:rsidRPr="00072E76" w:rsidRDefault="00072E76" w:rsidP="00072E76">
      <w:r w:rsidRPr="00072E76">
        <w:t xml:space="preserve">Λόγω του μεγάλου κόστους και πολυπλοκότητας της προμήθειας και για πληρέστερη διαμόρφωση γνώμης της Επιτροπής Αξιολόγησης της Υπηρεσίας ο προσφέρων υποχρεούται στο στάδιο της τεχνικής αξιολόγησης των προσφορών, εφόσον αυτό ζητηθεί εγγράφως από την Επιτροπή Αξιολόγησης, να επιδείξει παρόμοιο, εγκατεστημένο από αυτόν σύστημα, ώστε να το παρακολουθήσουν σε λειτουργία, ανεξάρτητα της κατακύρωσης ή μη της προμήθειας σ' αυτόν. Η ως άνω επίδειξη θα πρέπει να πραγματοποιηθεί εντός το πολύ δέκα (10) εργάσιμων ημερών από την κοινοποίηση της σχετικής ειδικής πρόσκλησης. Άρνηση ή ολιγωρία στην ανταπόκριση του έγγραφου αιτήματος της Επιτροπής Αξιολόγησης επιφέρει την απόρριψη της προσφοράς. Τα έξοδα μετάβασης, διαμονής και διατροφής βαρύνουν σε κάθε περίπτωση την Υπηρεσία για μετακίνηση είτε εντός είτε εκτός Ελλάδος. </w:t>
      </w:r>
    </w:p>
    <w:p w:rsidR="00072E76" w:rsidRPr="00072E76" w:rsidRDefault="00072E76" w:rsidP="00072E76"/>
    <w:p w:rsidR="00072E76" w:rsidRPr="00072E76" w:rsidRDefault="00072E76" w:rsidP="00072E76">
      <w:bookmarkStart w:id="87" w:name="__RefHeading___Toc470009835"/>
      <w:r w:rsidRPr="00072E76">
        <w:t>6.6</w:t>
      </w:r>
      <w:r w:rsidRPr="00072E76">
        <w:tab/>
        <w:t>Εγγυημένη λειτουργία προμήθειας</w:t>
      </w:r>
      <w:bookmarkEnd w:id="87"/>
    </w:p>
    <w:p w:rsidR="00072E76" w:rsidRPr="00072E76" w:rsidRDefault="00072E76" w:rsidP="00072E76">
      <w:r w:rsidRPr="00072E76">
        <w:t>Ο προμηθευτής υποχρεούται να παρέχει εγγύηση καλής λειτουργίας διάρκειας τουλάχιστον δώδεκα (12) μηνών, τόσο για τα επιμέρους τμήματα που απαρτίζουν το προσφερόμενο σύστημα όσο και για το σύνολο του συστήματος.</w:t>
      </w:r>
    </w:p>
    <w:p w:rsidR="00072E76" w:rsidRPr="00072E76" w:rsidRDefault="00072E76" w:rsidP="00072E76">
      <w:r w:rsidRPr="00072E76">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072E76" w:rsidRPr="00072E76" w:rsidRDefault="00072E76" w:rsidP="00072E76">
      <w:r w:rsidRPr="00072E76">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072E76" w:rsidRPr="00072E76" w:rsidRDefault="00072E76" w:rsidP="00072E76">
      <w:r w:rsidRPr="00072E76">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072E76" w:rsidRPr="00072E76" w:rsidRDefault="00072E76" w:rsidP="00072E76"/>
    <w:p w:rsidR="00072E76" w:rsidRPr="00072E76" w:rsidRDefault="00072E76" w:rsidP="00072E76">
      <w:bookmarkStart w:id="88" w:name="_Toc130319880"/>
      <w:r w:rsidRPr="00072E76">
        <w:t>6.7</w:t>
      </w:r>
      <w:r w:rsidRPr="00072E76">
        <w:tab/>
        <w:t>Αναπροσαρμογή τιμής</w:t>
      </w:r>
      <w:bookmarkEnd w:id="88"/>
    </w:p>
    <w:p w:rsidR="00072E76" w:rsidRPr="00072E76" w:rsidRDefault="00072E76" w:rsidP="00072E76">
      <w:r w:rsidRPr="00072E76">
        <w:t xml:space="preserve">6.7.1 Προβλέπεται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rsidR="00072E76" w:rsidRPr="00072E76" w:rsidRDefault="00072E76" w:rsidP="00072E76">
      <w:r w:rsidRPr="00072E76">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rsidR="00072E76" w:rsidRPr="00072E76" w:rsidRDefault="00072E76" w:rsidP="00072E76">
      <w:r w:rsidRPr="00072E76">
        <w:t xml:space="preserve">β) ο δείκτης τιμών καταναλωτή (ΔΤΚ) είναι μικρότερος από μείον τρία τοις εκατό (-3%) και μεγαλύτερος από τρία τοις εκατό (3%), </w:t>
      </w:r>
    </w:p>
    <w:p w:rsidR="00072E76" w:rsidRPr="00072E76" w:rsidRDefault="00072E76" w:rsidP="00072E76">
      <w:r w:rsidRPr="00072E76">
        <w:t xml:space="preserve">γ) η αναθέτουσα αρχή διαθέτει τις απαραίτητες πιστώσεις για την εφαρμογή της αναπροσαρμογής της τιμής. </w:t>
      </w:r>
    </w:p>
    <w:p w:rsidR="00072E76" w:rsidRPr="00072E76" w:rsidRDefault="00072E76" w:rsidP="00072E76">
      <w:r w:rsidRPr="00072E76">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p>
    <w:p w:rsidR="00072E76" w:rsidRPr="00072E76" w:rsidRDefault="00072E76" w:rsidP="00072E76"/>
    <w:p w:rsidR="00072E76" w:rsidRPr="00072E76" w:rsidRDefault="00072E76" w:rsidP="00072E76">
      <w:r w:rsidRPr="00072E76">
        <w:t xml:space="preserve">6.7.2  Για την αναπροσαρμογή της τιμής εφαρμόζεται ο τύπος: </w:t>
      </w:r>
    </w:p>
    <w:p w:rsidR="00072E76" w:rsidRPr="00072E76" w:rsidRDefault="00072E76" w:rsidP="00072E76">
      <w:r w:rsidRPr="00072E76">
        <w:lastRenderedPageBreak/>
        <w:t xml:space="preserve">Τ = </w:t>
      </w:r>
      <w:proofErr w:type="spellStart"/>
      <w:r w:rsidRPr="00072E76">
        <w:t>ΤπροσφοράςΧ</w:t>
      </w:r>
      <w:proofErr w:type="spellEnd"/>
      <w:r w:rsidRPr="00072E76">
        <w:t xml:space="preserve"> (1+ΔΤΚ)</w:t>
      </w:r>
    </w:p>
    <w:p w:rsidR="00072E76" w:rsidRPr="00072E76" w:rsidRDefault="00072E76" w:rsidP="00072E76">
      <w:r w:rsidRPr="00072E76">
        <w:t xml:space="preserve">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w:t>
      </w:r>
    </w:p>
    <w:p w:rsidR="00072E76" w:rsidRPr="00072E76" w:rsidRDefault="00072E76" w:rsidP="00072E76">
      <w:r w:rsidRPr="00072E76">
        <w:t>6.7.3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p>
    <w:p w:rsidR="00072E76" w:rsidRPr="00072E76" w:rsidRDefault="00072E76" w:rsidP="00072E76">
      <w:r w:rsidRPr="00072E76">
        <w:t>6.7.4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rsidR="00072E76" w:rsidRPr="00072E76" w:rsidRDefault="00072E76" w:rsidP="00072E76"/>
    <w:p w:rsidR="00072E76" w:rsidRPr="00072E76" w:rsidRDefault="00072E76" w:rsidP="00072E76">
      <w:r w:rsidRPr="00072E76">
        <w:t xml:space="preserve">6.8  </w:t>
      </w:r>
      <w:proofErr w:type="spellStart"/>
      <w:r w:rsidRPr="00072E76">
        <w:t>Επικαιροποίηση</w:t>
      </w:r>
      <w:proofErr w:type="spellEnd"/>
      <w:r w:rsidRPr="00072E76">
        <w:t xml:space="preserve"> τεχνικών προδιαγραφών κατά την εκτέλεση της σύμβασης</w:t>
      </w:r>
    </w:p>
    <w:p w:rsidR="00072E76" w:rsidRPr="00072E76" w:rsidRDefault="00072E76" w:rsidP="00072E76">
      <w:r w:rsidRPr="00072E76">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αναθέτουσα αρχή πρόταση </w:t>
      </w:r>
      <w:proofErr w:type="spellStart"/>
      <w:r w:rsidRPr="00072E76">
        <w:t>επικαιροποίησης</w:t>
      </w:r>
      <w:proofErr w:type="spellEnd"/>
      <w:r w:rsidRPr="00072E76">
        <w:t xml:space="preserve">, η οποία υπόκειται στην έγκριση της αναθέτουσας αρχής, κατόπιν γνωμοδότησης της Επιτροπής Παρακολούθησης- Παραλαβής. Στο πλαίσιο της πρότασης </w:t>
      </w:r>
      <w:proofErr w:type="spellStart"/>
      <w:r w:rsidRPr="00072E76">
        <w:t>επικαιροποίησης</w:t>
      </w:r>
      <w:proofErr w:type="spellEnd"/>
      <w:r w:rsidRPr="00072E76">
        <w:t xml:space="preserve">,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w:t>
      </w:r>
      <w:proofErr w:type="spellStart"/>
      <w:r w:rsidRPr="00072E76">
        <w:t>επικαιροποιημένα</w:t>
      </w:r>
      <w:proofErr w:type="spellEnd"/>
      <w:r w:rsidRPr="00072E76">
        <w:t xml:space="preserve"> αγαθά αντί των αρχικά προσφερθέντων, χωρίς πρόσθετη οικονομική επιβάρυνση της αναθέτουσας αρχής και χωρίς μεταβολή των όρων πληρωμής. Ο χρόνος παράδοσης των </w:t>
      </w:r>
      <w:proofErr w:type="spellStart"/>
      <w:r w:rsidRPr="00072E76">
        <w:t>επικαιροποιημένων</w:t>
      </w:r>
      <w:proofErr w:type="spellEnd"/>
      <w:r w:rsidRPr="00072E76">
        <w:t xml:space="preserve"> αγαθών, όπως έχει οριστεί στην παρ. 6.1.1. της παρούσας, εκκινεί από την κοινοποίηση της εγκριτικής απόφασης της αναθέτουσας αρχής στον ανάδοχο.</w:t>
      </w:r>
    </w:p>
    <w:p w:rsidR="00072E76" w:rsidRPr="00072E76" w:rsidRDefault="00072E76" w:rsidP="00072E76">
      <w:r w:rsidRPr="00072E76">
        <w:tab/>
      </w:r>
    </w:p>
    <w:p w:rsidR="00072E76" w:rsidRPr="00072E76" w:rsidRDefault="00072E76" w:rsidP="00072E76">
      <w:bookmarkStart w:id="89" w:name="__RefHeading___Toc470009834"/>
      <w:bookmarkEnd w:id="89"/>
    </w:p>
    <w:p w:rsidR="00072E76" w:rsidRPr="00072E76" w:rsidRDefault="00072E76" w:rsidP="00072E76"/>
    <w:p w:rsidR="00DB1B82" w:rsidRPr="002661F0" w:rsidRDefault="00FB2AB3" w:rsidP="00020678">
      <w:pPr>
        <w:pStyle w:val="28"/>
        <w:spacing w:line="276" w:lineRule="auto"/>
        <w:ind w:left="0" w:firstLine="0"/>
        <w:rPr>
          <w:rFonts w:ascii="Arial" w:hAnsi="Arial" w:cs="Arial"/>
          <w:b/>
          <w:sz w:val="22"/>
          <w:szCs w:val="22"/>
        </w:rPr>
      </w:pPr>
      <w:bookmarkStart w:id="90" w:name="__RefHeading___Toc470009837"/>
      <w:bookmarkEnd w:id="90"/>
      <w:r w:rsidRPr="002661F0">
        <w:rPr>
          <w:rFonts w:ascii="Arial" w:hAnsi="Arial" w:cs="Arial"/>
          <w:b/>
          <w:sz w:val="22"/>
          <w:szCs w:val="22"/>
        </w:rPr>
        <w:t xml:space="preserve">Η </w:t>
      </w:r>
      <w:r w:rsidR="0082660B" w:rsidRPr="002661F0">
        <w:rPr>
          <w:rFonts w:ascii="Arial" w:hAnsi="Arial" w:cs="Arial"/>
          <w:b/>
          <w:sz w:val="22"/>
          <w:szCs w:val="22"/>
        </w:rPr>
        <w:t>α</w:t>
      </w:r>
      <w:r w:rsidRPr="002661F0">
        <w:rPr>
          <w:rFonts w:ascii="Arial" w:hAnsi="Arial" w:cs="Arial"/>
          <w:b/>
          <w:sz w:val="22"/>
          <w:szCs w:val="22"/>
        </w:rPr>
        <w:t>πό</w:t>
      </w:r>
      <w:r w:rsidR="003B5930" w:rsidRPr="002661F0">
        <w:rPr>
          <w:rFonts w:ascii="Arial" w:hAnsi="Arial" w:cs="Arial"/>
          <w:b/>
          <w:sz w:val="22"/>
          <w:szCs w:val="22"/>
        </w:rPr>
        <w:t xml:space="preserve">φαση πήρε αριθμό  </w:t>
      </w:r>
      <w:r w:rsidR="008E309F">
        <w:rPr>
          <w:rFonts w:ascii="Arial" w:hAnsi="Arial" w:cs="Arial"/>
          <w:b/>
          <w:sz w:val="22"/>
          <w:szCs w:val="22"/>
        </w:rPr>
        <w:t>23</w:t>
      </w:r>
      <w:r w:rsidR="001B3B77">
        <w:rPr>
          <w:rFonts w:ascii="Arial" w:hAnsi="Arial" w:cs="Arial"/>
          <w:b/>
          <w:sz w:val="22"/>
          <w:szCs w:val="22"/>
        </w:rPr>
        <w:t>4</w:t>
      </w:r>
      <w:r w:rsidR="00554F44" w:rsidRPr="002661F0">
        <w:rPr>
          <w:rFonts w:ascii="Arial" w:hAnsi="Arial" w:cs="Arial"/>
          <w:b/>
          <w:sz w:val="22"/>
          <w:szCs w:val="22"/>
        </w:rPr>
        <w:t>/</w:t>
      </w:r>
      <w:r w:rsidR="003C235F" w:rsidRPr="002661F0">
        <w:rPr>
          <w:rFonts w:ascii="Arial" w:hAnsi="Arial" w:cs="Arial"/>
          <w:b/>
          <w:sz w:val="22"/>
          <w:szCs w:val="22"/>
        </w:rPr>
        <w:t>20</w:t>
      </w:r>
      <w:r w:rsidR="005B55CE" w:rsidRPr="002661F0">
        <w:rPr>
          <w:rFonts w:ascii="Arial" w:hAnsi="Arial" w:cs="Arial"/>
          <w:b/>
          <w:sz w:val="22"/>
          <w:szCs w:val="22"/>
        </w:rPr>
        <w:t>2</w:t>
      </w:r>
      <w:r w:rsidR="00C42FEF" w:rsidRPr="002661F0">
        <w:rPr>
          <w:rFonts w:ascii="Arial" w:hAnsi="Arial" w:cs="Arial"/>
          <w:b/>
          <w:sz w:val="22"/>
          <w:szCs w:val="22"/>
        </w:rPr>
        <w:t>3</w:t>
      </w:r>
      <w:r w:rsidR="00CC0DE3" w:rsidRPr="002661F0">
        <w:rPr>
          <w:rFonts w:ascii="Arial" w:hAnsi="Arial" w:cs="Arial"/>
          <w:b/>
          <w:sz w:val="22"/>
          <w:szCs w:val="22"/>
        </w:rPr>
        <w:t>.</w:t>
      </w:r>
      <w:r w:rsidR="00E9459C" w:rsidRPr="002661F0">
        <w:rPr>
          <w:rFonts w:ascii="Arial" w:hAnsi="Arial" w:cs="Arial"/>
          <w:b/>
          <w:sz w:val="22"/>
          <w:szCs w:val="22"/>
        </w:rPr>
        <w:t xml:space="preserve">  </w:t>
      </w:r>
    </w:p>
    <w:p w:rsidR="00DC0851" w:rsidRPr="002661F0" w:rsidRDefault="00E9459C" w:rsidP="00DB1B82">
      <w:pPr>
        <w:suppressAutoHyphens w:val="0"/>
        <w:spacing w:before="100" w:beforeAutospacing="1"/>
        <w:rPr>
          <w:rFonts w:ascii="Arial" w:hAnsi="Arial" w:cs="Arial"/>
          <w:sz w:val="22"/>
          <w:szCs w:val="22"/>
        </w:rPr>
      </w:pPr>
      <w:r w:rsidRPr="002661F0">
        <w:rPr>
          <w:rFonts w:ascii="Arial" w:hAnsi="Arial" w:cs="Arial"/>
          <w:b/>
          <w:sz w:val="22"/>
          <w:szCs w:val="22"/>
        </w:rPr>
        <w:t xml:space="preserve">                                      </w:t>
      </w:r>
    </w:p>
    <w:p w:rsidR="001B0C1F" w:rsidRDefault="001B0C1F" w:rsidP="001B0C1F">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r w:rsidR="00926B89">
        <w:rPr>
          <w:rFonts w:ascii="Arial" w:hAnsi="Arial" w:cs="Arial"/>
          <w:sz w:val="22"/>
          <w:szCs w:val="22"/>
        </w:rPr>
        <w:t xml:space="preserve">  </w:t>
      </w:r>
      <w:r>
        <w:rPr>
          <w:rFonts w:ascii="Arial" w:hAnsi="Arial" w:cs="Arial"/>
          <w:sz w:val="22"/>
          <w:szCs w:val="22"/>
        </w:rPr>
        <w:t xml:space="preserve">    </w:t>
      </w:r>
      <w:r>
        <w:rPr>
          <w:rFonts w:ascii="Arial" w:eastAsia="Arial" w:hAnsi="Arial" w:cs="Arial"/>
          <w:sz w:val="22"/>
          <w:szCs w:val="22"/>
        </w:rPr>
        <w:t xml:space="preserve">     </w:t>
      </w:r>
      <w:r w:rsidR="000F6560">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507A6E">
        <w:rPr>
          <w:rFonts w:ascii="Arial" w:hAnsi="Arial" w:cs="Arial"/>
          <w:sz w:val="22"/>
          <w:szCs w:val="22"/>
        </w:rPr>
        <w:t>0</w:t>
      </w:r>
      <w:r w:rsidR="00020678">
        <w:rPr>
          <w:rFonts w:ascii="Arial" w:hAnsi="Arial" w:cs="Arial"/>
          <w:sz w:val="22"/>
          <w:szCs w:val="22"/>
        </w:rPr>
        <w:t>9</w:t>
      </w:r>
      <w:r w:rsidR="00507A6E">
        <w:rPr>
          <w:rFonts w:ascii="Arial" w:hAnsi="Arial" w:cs="Arial"/>
          <w:sz w:val="22"/>
          <w:szCs w:val="22"/>
        </w:rPr>
        <w:t>-11</w:t>
      </w:r>
      <w:r>
        <w:rPr>
          <w:rFonts w:ascii="Arial" w:hAnsi="Arial" w:cs="Arial"/>
          <w:sz w:val="22"/>
          <w:szCs w:val="22"/>
        </w:rPr>
        <w:t>-2023</w:t>
      </w:r>
      <w:r>
        <w:rPr>
          <w:rFonts w:ascii="Arial" w:eastAsia="Verdana" w:hAnsi="Arial" w:cs="Arial"/>
          <w:kern w:val="2"/>
          <w:sz w:val="22"/>
          <w:szCs w:val="22"/>
          <w:lang w:bidi="hi-IN"/>
        </w:rPr>
        <w:t xml:space="preserve">  </w:t>
      </w:r>
    </w:p>
    <w:p w:rsidR="001B0C1F" w:rsidRDefault="001B0C1F" w:rsidP="001B0C1F">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0C1F" w:rsidRDefault="001B0C1F" w:rsidP="001B0C1F">
      <w:pPr>
        <w:tabs>
          <w:tab w:val="left" w:pos="7485"/>
        </w:tabs>
        <w:rPr>
          <w:rFonts w:ascii="Arial" w:hAnsi="Arial" w:cs="Arial"/>
          <w:sz w:val="22"/>
          <w:szCs w:val="22"/>
        </w:rPr>
      </w:pPr>
      <w:r>
        <w:rPr>
          <w:rFonts w:ascii="Arial" w:hAnsi="Arial" w:cs="Arial"/>
          <w:sz w:val="22"/>
          <w:szCs w:val="22"/>
        </w:rPr>
        <w:t>1.</w:t>
      </w:r>
      <w:r w:rsidR="008E309F" w:rsidRPr="008E309F">
        <w:rPr>
          <w:rFonts w:ascii="Arial" w:hAnsi="Arial" w:cs="Arial"/>
          <w:sz w:val="22"/>
          <w:szCs w:val="22"/>
        </w:rPr>
        <w:t xml:space="preserve"> </w:t>
      </w:r>
      <w:proofErr w:type="spellStart"/>
      <w:r w:rsidR="008E309F">
        <w:rPr>
          <w:rFonts w:ascii="Arial" w:hAnsi="Arial" w:cs="Arial"/>
          <w:sz w:val="22"/>
          <w:szCs w:val="22"/>
        </w:rPr>
        <w:t>Καλογρηάς</w:t>
      </w:r>
      <w:proofErr w:type="spellEnd"/>
      <w:r w:rsidR="008E309F">
        <w:rPr>
          <w:rFonts w:ascii="Arial" w:hAnsi="Arial" w:cs="Arial"/>
          <w:sz w:val="22"/>
          <w:szCs w:val="22"/>
        </w:rPr>
        <w:t xml:space="preserve"> Αθανάσιος                                                            </w:t>
      </w:r>
      <w:r>
        <w:rPr>
          <w:rFonts w:ascii="Arial" w:hAnsi="Arial" w:cs="Arial"/>
          <w:sz w:val="22"/>
          <w:szCs w:val="22"/>
        </w:rPr>
        <w:t>ΙΩΑΝΝΗΣ Δ. ΤΑΓΚΑΛΕΓΚΑΣ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2. </w:t>
      </w:r>
      <w:proofErr w:type="spellStart"/>
      <w:r w:rsidR="008E309F">
        <w:rPr>
          <w:rFonts w:ascii="Arial" w:hAnsi="Arial" w:cs="Arial"/>
          <w:sz w:val="22"/>
          <w:szCs w:val="22"/>
        </w:rPr>
        <w:t>Σαγιάννης</w:t>
      </w:r>
      <w:proofErr w:type="spellEnd"/>
      <w:r w:rsidR="008E309F">
        <w:rPr>
          <w:rFonts w:ascii="Arial" w:hAnsi="Arial" w:cs="Arial"/>
          <w:sz w:val="22"/>
          <w:szCs w:val="22"/>
        </w:rPr>
        <w:t xml:space="preserve"> Μιχαήλ                                                                    ΔΗΜΑΡΧΟΣ ΛΕΒΑΔΕΩΝ</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3. </w:t>
      </w:r>
      <w:proofErr w:type="spellStart"/>
      <w:r w:rsidR="008E309F">
        <w:rPr>
          <w:rFonts w:ascii="Arial" w:hAnsi="Arial" w:cs="Arial"/>
          <w:sz w:val="22"/>
          <w:szCs w:val="22"/>
        </w:rPr>
        <w:t>Μερτζάνης</w:t>
      </w:r>
      <w:proofErr w:type="spellEnd"/>
      <w:r w:rsidR="008E309F">
        <w:rPr>
          <w:rFonts w:ascii="Arial" w:hAnsi="Arial" w:cs="Arial"/>
          <w:sz w:val="22"/>
          <w:szCs w:val="22"/>
        </w:rPr>
        <w:t xml:space="preserve">  Κωνσταντίνος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4. </w:t>
      </w:r>
      <w:proofErr w:type="spellStart"/>
      <w:r w:rsidR="008E309F">
        <w:rPr>
          <w:rFonts w:ascii="Arial" w:hAnsi="Arial" w:cs="Arial"/>
          <w:sz w:val="22"/>
          <w:szCs w:val="22"/>
        </w:rPr>
        <w:t>Καπλάνης</w:t>
      </w:r>
      <w:proofErr w:type="spellEnd"/>
      <w:r w:rsidR="008E309F">
        <w:rPr>
          <w:rFonts w:ascii="Arial" w:hAnsi="Arial" w:cs="Arial"/>
          <w:sz w:val="22"/>
          <w:szCs w:val="22"/>
        </w:rPr>
        <w:t xml:space="preserve"> Κωνσταντίνος                                                                                             </w:t>
      </w:r>
    </w:p>
    <w:p w:rsidR="005C3885" w:rsidRPr="002661F0" w:rsidRDefault="001B0C1F" w:rsidP="00C772E0">
      <w:pPr>
        <w:tabs>
          <w:tab w:val="left" w:pos="559"/>
          <w:tab w:val="left" w:pos="1555"/>
        </w:tabs>
        <w:rPr>
          <w:rFonts w:ascii="Arial" w:hAnsi="Arial" w:cs="Arial"/>
          <w:sz w:val="22"/>
          <w:szCs w:val="22"/>
        </w:rPr>
      </w:pPr>
      <w:r>
        <w:rPr>
          <w:rFonts w:ascii="Arial" w:hAnsi="Arial" w:cs="Arial"/>
          <w:sz w:val="22"/>
          <w:szCs w:val="22"/>
        </w:rPr>
        <w:t xml:space="preserve">5. </w:t>
      </w:r>
      <w:proofErr w:type="spellStart"/>
      <w:r w:rsidR="008E309F">
        <w:rPr>
          <w:rFonts w:ascii="Arial" w:hAnsi="Arial" w:cs="Arial"/>
          <w:sz w:val="22"/>
          <w:szCs w:val="22"/>
        </w:rPr>
        <w:t>Καραμάνης</w:t>
      </w:r>
      <w:proofErr w:type="spellEnd"/>
      <w:r w:rsidR="008E309F">
        <w:rPr>
          <w:rFonts w:ascii="Arial" w:hAnsi="Arial" w:cs="Arial"/>
          <w:sz w:val="22"/>
          <w:szCs w:val="22"/>
        </w:rPr>
        <w:t xml:space="preserve"> Δημήτριος</w:t>
      </w:r>
    </w:p>
    <w:sectPr w:rsidR="005C3885" w:rsidRPr="002661F0" w:rsidSect="008C56A4">
      <w:headerReference w:type="default" r:id="rId29"/>
      <w:headerReference w:type="first" r:id="rId3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21" w:rsidRDefault="00D75021">
      <w:r>
        <w:separator/>
      </w:r>
    </w:p>
  </w:endnote>
  <w:endnote w:type="continuationSeparator" w:id="0">
    <w:p w:rsidR="00D75021" w:rsidRDefault="00D75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Yu Gothic"/>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21" w:rsidRDefault="00D75021">
      <w:r>
        <w:separator/>
      </w:r>
    </w:p>
  </w:footnote>
  <w:footnote w:type="continuationSeparator" w:id="0">
    <w:p w:rsidR="00D75021" w:rsidRDefault="00D75021">
      <w:r>
        <w:continuationSeparator/>
      </w:r>
    </w:p>
  </w:footnote>
  <w:footnote w:id="1">
    <w:p w:rsidR="0055251A" w:rsidRPr="00072E76" w:rsidRDefault="0055251A" w:rsidP="00072E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1A" w:rsidRDefault="0055251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55251A" w:rsidRDefault="0055251A">
                <w:pPr>
                  <w:pStyle w:val="af1"/>
                </w:pPr>
                <w:r>
                  <w:rPr>
                    <w:rStyle w:val="a3"/>
                  </w:rPr>
                  <w:fldChar w:fldCharType="begin"/>
                </w:r>
                <w:r>
                  <w:rPr>
                    <w:rStyle w:val="a3"/>
                  </w:rPr>
                  <w:instrText xml:space="preserve"> PAGE </w:instrText>
                </w:r>
                <w:r>
                  <w:rPr>
                    <w:rStyle w:val="a3"/>
                  </w:rPr>
                  <w:fldChar w:fldCharType="separate"/>
                </w:r>
                <w:r>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1A" w:rsidRDefault="0055251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2B534C1"/>
    <w:multiLevelType w:val="hybridMultilevel"/>
    <w:tmpl w:val="35320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0">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4">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905B6C"/>
    <w:multiLevelType w:val="hybridMultilevel"/>
    <w:tmpl w:val="28C8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A5449EB"/>
    <w:multiLevelType w:val="multilevel"/>
    <w:tmpl w:val="1034DA5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D642F1F"/>
    <w:multiLevelType w:val="hybridMultilevel"/>
    <w:tmpl w:val="01D6E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F35795B"/>
    <w:multiLevelType w:val="hybridMultilevel"/>
    <w:tmpl w:val="003A2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4"/>
  </w:num>
  <w:num w:numId="7">
    <w:abstractNumId w:val="9"/>
  </w:num>
  <w:num w:numId="8">
    <w:abstractNumId w:val="19"/>
  </w:num>
  <w:num w:numId="9">
    <w:abstractNumId w:val="25"/>
  </w:num>
  <w:num w:numId="10">
    <w:abstractNumId w:val="5"/>
  </w:num>
  <w:num w:numId="11">
    <w:abstractNumId w:val="4"/>
  </w:num>
  <w:num w:numId="12">
    <w:abstractNumId w:val="15"/>
  </w:num>
  <w:num w:numId="13">
    <w:abstractNumId w:val="10"/>
  </w:num>
  <w:num w:numId="14">
    <w:abstractNumId w:val="6"/>
  </w:num>
  <w:num w:numId="15">
    <w:abstractNumId w:val="17"/>
  </w:num>
  <w:num w:numId="16">
    <w:abstractNumId w:val="13"/>
  </w:num>
  <w:num w:numId="17">
    <w:abstractNumId w:val="20"/>
  </w:num>
  <w:num w:numId="18">
    <w:abstractNumId w:val="22"/>
  </w:num>
  <w:num w:numId="19">
    <w:abstractNumId w:val="23"/>
  </w:num>
  <w:num w:numId="20">
    <w:abstractNumId w:val="11"/>
  </w:num>
  <w:num w:numId="21">
    <w:abstractNumId w:val="16"/>
  </w:num>
  <w:num w:numId="22">
    <w:abstractNumId w:val="8"/>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0"/>
  </w:num>
  <w:num w:numId="27">
    <w:abstractNumId w:val="14"/>
  </w:num>
  <w:num w:numId="28">
    <w:abstractNumId w:val="12"/>
  </w:num>
  <w:num w:numId="29">
    <w:abstractNumId w:val="29"/>
  </w:num>
  <w:num w:numId="30">
    <w:abstractNumId w:val="32"/>
  </w:num>
  <w:num w:numId="31">
    <w:abstractNumId w:val="21"/>
  </w:num>
  <w:num w:numId="32">
    <w:abstractNumId w:val="18"/>
  </w:num>
  <w:num w:numId="33">
    <w:abstractNumId w:val="34"/>
  </w:num>
  <w:num w:numId="34">
    <w:abstractNumId w:val="26"/>
  </w:num>
  <w:num w:numId="35">
    <w:abstractNumId w:val="31"/>
  </w:num>
  <w:num w:numId="36">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0678"/>
    <w:rsid w:val="00023204"/>
    <w:rsid w:val="000249B8"/>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2E76"/>
    <w:rsid w:val="0007357B"/>
    <w:rsid w:val="00073F74"/>
    <w:rsid w:val="00092C75"/>
    <w:rsid w:val="00097687"/>
    <w:rsid w:val="000A104C"/>
    <w:rsid w:val="000A79F1"/>
    <w:rsid w:val="000B0A34"/>
    <w:rsid w:val="000B247B"/>
    <w:rsid w:val="000B32D2"/>
    <w:rsid w:val="000B4F9B"/>
    <w:rsid w:val="000C2D8A"/>
    <w:rsid w:val="000C30B5"/>
    <w:rsid w:val="000C3CCB"/>
    <w:rsid w:val="000C56F2"/>
    <w:rsid w:val="000D0346"/>
    <w:rsid w:val="000D53A5"/>
    <w:rsid w:val="000D71C2"/>
    <w:rsid w:val="000D74BD"/>
    <w:rsid w:val="000D7650"/>
    <w:rsid w:val="000E16E0"/>
    <w:rsid w:val="000E1B84"/>
    <w:rsid w:val="000E3618"/>
    <w:rsid w:val="000E3782"/>
    <w:rsid w:val="000F4883"/>
    <w:rsid w:val="000F5A20"/>
    <w:rsid w:val="000F6560"/>
    <w:rsid w:val="000F7BB1"/>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37060"/>
    <w:rsid w:val="00142566"/>
    <w:rsid w:val="00142618"/>
    <w:rsid w:val="0014301D"/>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8573B"/>
    <w:rsid w:val="00190EE2"/>
    <w:rsid w:val="00196C95"/>
    <w:rsid w:val="001A0E3D"/>
    <w:rsid w:val="001A184F"/>
    <w:rsid w:val="001A4B53"/>
    <w:rsid w:val="001A4EF0"/>
    <w:rsid w:val="001B049F"/>
    <w:rsid w:val="001B0C1F"/>
    <w:rsid w:val="001B18B8"/>
    <w:rsid w:val="001B2912"/>
    <w:rsid w:val="001B3B77"/>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5C3B"/>
    <w:rsid w:val="001E6338"/>
    <w:rsid w:val="00203B4C"/>
    <w:rsid w:val="00204658"/>
    <w:rsid w:val="0020594B"/>
    <w:rsid w:val="00207616"/>
    <w:rsid w:val="0021152E"/>
    <w:rsid w:val="00215648"/>
    <w:rsid w:val="002162A5"/>
    <w:rsid w:val="00220033"/>
    <w:rsid w:val="00220115"/>
    <w:rsid w:val="00226747"/>
    <w:rsid w:val="00226885"/>
    <w:rsid w:val="00226ABB"/>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0D55"/>
    <w:rsid w:val="002D1943"/>
    <w:rsid w:val="002D284B"/>
    <w:rsid w:val="002D4538"/>
    <w:rsid w:val="002D4C37"/>
    <w:rsid w:val="002D7D89"/>
    <w:rsid w:val="002E03A1"/>
    <w:rsid w:val="002E0EB2"/>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24F3D"/>
    <w:rsid w:val="00333AE4"/>
    <w:rsid w:val="003340D2"/>
    <w:rsid w:val="00334245"/>
    <w:rsid w:val="00337768"/>
    <w:rsid w:val="0034115C"/>
    <w:rsid w:val="00341C67"/>
    <w:rsid w:val="00343BC7"/>
    <w:rsid w:val="00345753"/>
    <w:rsid w:val="00353E85"/>
    <w:rsid w:val="00354A9F"/>
    <w:rsid w:val="00354BBD"/>
    <w:rsid w:val="0035666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2BB6"/>
    <w:rsid w:val="00404CF8"/>
    <w:rsid w:val="00406541"/>
    <w:rsid w:val="00411130"/>
    <w:rsid w:val="00411AEF"/>
    <w:rsid w:val="004127AB"/>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4925"/>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2B85"/>
    <w:rsid w:val="004E42A0"/>
    <w:rsid w:val="004E6F72"/>
    <w:rsid w:val="004E727A"/>
    <w:rsid w:val="004F17C9"/>
    <w:rsid w:val="004F2CB8"/>
    <w:rsid w:val="005002A8"/>
    <w:rsid w:val="00503375"/>
    <w:rsid w:val="00504A54"/>
    <w:rsid w:val="00507A6E"/>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251A"/>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468C"/>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509D"/>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E7FCF"/>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214D"/>
    <w:rsid w:val="007A3F13"/>
    <w:rsid w:val="007A7C17"/>
    <w:rsid w:val="007B179E"/>
    <w:rsid w:val="007B1874"/>
    <w:rsid w:val="007B4842"/>
    <w:rsid w:val="007B508A"/>
    <w:rsid w:val="007B5661"/>
    <w:rsid w:val="007B603B"/>
    <w:rsid w:val="007B7659"/>
    <w:rsid w:val="007C3188"/>
    <w:rsid w:val="007C68CF"/>
    <w:rsid w:val="007C716C"/>
    <w:rsid w:val="007C7B0F"/>
    <w:rsid w:val="007D26EA"/>
    <w:rsid w:val="007D2B32"/>
    <w:rsid w:val="007E0A74"/>
    <w:rsid w:val="007E0C09"/>
    <w:rsid w:val="007E1D76"/>
    <w:rsid w:val="007E6B80"/>
    <w:rsid w:val="007E6F5B"/>
    <w:rsid w:val="007F057C"/>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519"/>
    <w:rsid w:val="008B3851"/>
    <w:rsid w:val="008C4D4B"/>
    <w:rsid w:val="008C56A4"/>
    <w:rsid w:val="008D1B71"/>
    <w:rsid w:val="008D4117"/>
    <w:rsid w:val="008D4B1C"/>
    <w:rsid w:val="008D639D"/>
    <w:rsid w:val="008D7811"/>
    <w:rsid w:val="008E0542"/>
    <w:rsid w:val="008E0AAC"/>
    <w:rsid w:val="008E13D4"/>
    <w:rsid w:val="008E309F"/>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6B89"/>
    <w:rsid w:val="009274E0"/>
    <w:rsid w:val="009346A4"/>
    <w:rsid w:val="00940CB0"/>
    <w:rsid w:val="00942669"/>
    <w:rsid w:val="00942AA3"/>
    <w:rsid w:val="009463E6"/>
    <w:rsid w:val="00953207"/>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E6BBB"/>
    <w:rsid w:val="009F2E1D"/>
    <w:rsid w:val="009F4B5B"/>
    <w:rsid w:val="00A00A9E"/>
    <w:rsid w:val="00A03BC8"/>
    <w:rsid w:val="00A1563F"/>
    <w:rsid w:val="00A168AB"/>
    <w:rsid w:val="00A17696"/>
    <w:rsid w:val="00A25FE0"/>
    <w:rsid w:val="00A33924"/>
    <w:rsid w:val="00A369E8"/>
    <w:rsid w:val="00A36F5D"/>
    <w:rsid w:val="00A37F05"/>
    <w:rsid w:val="00A40192"/>
    <w:rsid w:val="00A40B9A"/>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5CE"/>
    <w:rsid w:val="00AC2635"/>
    <w:rsid w:val="00AC4193"/>
    <w:rsid w:val="00AC6A8A"/>
    <w:rsid w:val="00AC70D6"/>
    <w:rsid w:val="00AD0CDD"/>
    <w:rsid w:val="00AD6747"/>
    <w:rsid w:val="00AE14E6"/>
    <w:rsid w:val="00AE252E"/>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96F13"/>
    <w:rsid w:val="00BA43E7"/>
    <w:rsid w:val="00BA71C8"/>
    <w:rsid w:val="00BB3137"/>
    <w:rsid w:val="00BB5126"/>
    <w:rsid w:val="00BB6287"/>
    <w:rsid w:val="00BC3DB9"/>
    <w:rsid w:val="00BC4511"/>
    <w:rsid w:val="00BC61BD"/>
    <w:rsid w:val="00BD04FF"/>
    <w:rsid w:val="00BD570A"/>
    <w:rsid w:val="00BD7052"/>
    <w:rsid w:val="00BE3A82"/>
    <w:rsid w:val="00BE6006"/>
    <w:rsid w:val="00BE6AAF"/>
    <w:rsid w:val="00BF070A"/>
    <w:rsid w:val="00BF2311"/>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E12"/>
    <w:rsid w:val="00C42FEF"/>
    <w:rsid w:val="00C46970"/>
    <w:rsid w:val="00C51414"/>
    <w:rsid w:val="00C51E6E"/>
    <w:rsid w:val="00C563B9"/>
    <w:rsid w:val="00C6042A"/>
    <w:rsid w:val="00C65C37"/>
    <w:rsid w:val="00C66A45"/>
    <w:rsid w:val="00C675EA"/>
    <w:rsid w:val="00C67976"/>
    <w:rsid w:val="00C737D9"/>
    <w:rsid w:val="00C768D4"/>
    <w:rsid w:val="00C772E0"/>
    <w:rsid w:val="00C77F96"/>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12F"/>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285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021"/>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0DF8"/>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141BC"/>
    <w:rsid w:val="00E21056"/>
    <w:rsid w:val="00E24398"/>
    <w:rsid w:val="00E2646B"/>
    <w:rsid w:val="00E270B5"/>
    <w:rsid w:val="00E34D19"/>
    <w:rsid w:val="00E35054"/>
    <w:rsid w:val="00E35E85"/>
    <w:rsid w:val="00E36069"/>
    <w:rsid w:val="00E367EE"/>
    <w:rsid w:val="00E4380B"/>
    <w:rsid w:val="00E46A8D"/>
    <w:rsid w:val="00E47877"/>
    <w:rsid w:val="00E51524"/>
    <w:rsid w:val="00E53F46"/>
    <w:rsid w:val="00E5407F"/>
    <w:rsid w:val="00E56D6B"/>
    <w:rsid w:val="00E656C8"/>
    <w:rsid w:val="00E67721"/>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971BB"/>
    <w:rsid w:val="00EA2CC0"/>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6D3"/>
    <w:rsid w:val="00EF1AD2"/>
    <w:rsid w:val="00EF3352"/>
    <w:rsid w:val="00EF7AED"/>
    <w:rsid w:val="00EF7E94"/>
    <w:rsid w:val="00F01A7B"/>
    <w:rsid w:val="00F01E2E"/>
    <w:rsid w:val="00F025C4"/>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794"/>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8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 w:type="paragraph" w:customStyle="1" w:styleId="250">
    <w:name w:val="Σώμα κείμενου 25"/>
    <w:basedOn w:val="a"/>
    <w:rsid w:val="0014301D"/>
    <w:rPr>
      <w:rFonts w:ascii="Arial" w:hAnsi="Arial" w:cs="Arial"/>
      <w:kern w:val="1"/>
      <w:szCs w:val="20"/>
      <w:lang w:eastAsia="el-GR"/>
    </w:rPr>
  </w:style>
  <w:style w:type="paragraph" w:customStyle="1" w:styleId="44">
    <w:name w:val="Παράγραφος λίστας4"/>
    <w:basedOn w:val="a"/>
    <w:rsid w:val="0014301D"/>
    <w:pPr>
      <w:ind w:left="720"/>
      <w:contextualSpacing/>
    </w:pPr>
    <w:rPr>
      <w:kern w:val="1"/>
      <w:lang w:eastAsia="el-GR"/>
    </w:rPr>
  </w:style>
  <w:style w:type="paragraph" w:customStyle="1" w:styleId="53">
    <w:name w:val="Παράγραφος λίστας5"/>
    <w:basedOn w:val="a"/>
    <w:rsid w:val="0014301D"/>
    <w:pPr>
      <w:ind w:left="720"/>
      <w:contextualSpacing/>
    </w:pPr>
    <w:rPr>
      <w:kern w:val="2"/>
      <w:sz w:val="20"/>
      <w:szCs w:val="20"/>
      <w:lang w:eastAsia="el-GR"/>
    </w:rPr>
  </w:style>
  <w:style w:type="paragraph" w:customStyle="1" w:styleId="61">
    <w:name w:val="Παράγραφος λίστας6"/>
    <w:basedOn w:val="a"/>
    <w:rsid w:val="0014301D"/>
    <w:pPr>
      <w:widowControl w:val="0"/>
      <w:ind w:left="720"/>
      <w:contextualSpacing/>
    </w:pPr>
    <w:rPr>
      <w:rFonts w:eastAsia="SimSun" w:cs="Mangal"/>
      <w:kern w:val="2"/>
      <w:lang w:bidi="hi-IN"/>
    </w:rPr>
  </w:style>
  <w:style w:type="character" w:customStyle="1" w:styleId="WW-FootnoteReference5">
    <w:name w:val="WW-Footnote Reference5"/>
    <w:rsid w:val="00020678"/>
    <w:rPr>
      <w:vertAlign w:val="superscript"/>
    </w:rPr>
  </w:style>
</w:styles>
</file>

<file path=word/webSettings.xml><?xml version="1.0" encoding="utf-8"?>
<w:webSettings xmlns:r="http://schemas.openxmlformats.org/officeDocument/2006/relationships" xmlns:w="http://schemas.openxmlformats.org/wordprocessingml/2006/main">
  <w:divs>
    <w:div w:id="16216073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www.promitheus.gov.gr" TargetMode="External"/><Relationship Id="rId18" Type="http://schemas.openxmlformats.org/officeDocument/2006/relationships/hyperlink" Target="mailto:epanorthotika@eaadhsy.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s://portal.eprocurement.gov.gr/webcenter/portal/TestPortal"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moslevadeon.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promitheus.gov.gr/" TargetMode="External"/><Relationship Id="rId19" Type="http://schemas.openxmlformats.org/officeDocument/2006/relationships/hyperlink" Target="https://espd.eprocurement.gov.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moslevadeon.gr" TargetMode="External"/><Relationship Id="rId14" Type="http://schemas.openxmlformats.org/officeDocument/2006/relationships/hyperlink" Target="http://et.diavgeia.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prosarthmaA_index.html" TargetMode="External"/><Relationship Id="rId30"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79F4-7FCC-4886-BA9F-79235901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31990</Words>
  <Characters>172752</Characters>
  <Application>Microsoft Office Word</Application>
  <DocSecurity>0</DocSecurity>
  <Lines>1439</Lines>
  <Paragraphs>408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204334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2023-11-09T08:14:00Z</cp:lastPrinted>
  <dcterms:created xsi:type="dcterms:W3CDTF">2023-11-09T07:22:00Z</dcterms:created>
  <dcterms:modified xsi:type="dcterms:W3CDTF">2023-11-09T08:22:00Z</dcterms:modified>
</cp:coreProperties>
</file>