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880DA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880DA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880DA2">
        <w:rPr>
          <w:rFonts w:ascii="Arial" w:eastAsia="Arial" w:hAnsi="Arial" w:cs="Arial"/>
          <w:b/>
          <w:bCs/>
          <w:sz w:val="22"/>
          <w:szCs w:val="22"/>
        </w:rPr>
        <w:t>1</w:t>
      </w:r>
      <w:r w:rsidR="00181F92">
        <w:rPr>
          <w:rFonts w:ascii="Arial" w:eastAsia="Arial" w:hAnsi="Arial" w:cs="Arial"/>
          <w:b/>
          <w:bCs/>
          <w:sz w:val="22"/>
          <w:szCs w:val="22"/>
        </w:rPr>
        <w:t>4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9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880DA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A1357D">
        <w:rPr>
          <w:rFonts w:ascii="Arial" w:eastAsia="Arial" w:hAnsi="Arial" w:cs="Arial"/>
          <w:b/>
          <w:bCs/>
          <w:sz w:val="22"/>
          <w:szCs w:val="22"/>
        </w:rPr>
        <w:t>17574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730173">
        <w:rPr>
          <w:rFonts w:ascii="Arial" w:hAnsi="Arial" w:cs="Arial"/>
          <w:b/>
          <w:sz w:val="22"/>
          <w:szCs w:val="22"/>
        </w:rPr>
        <w:t>9</w:t>
      </w:r>
      <w:r w:rsidR="0072037C">
        <w:rPr>
          <w:rFonts w:ascii="Arial" w:hAnsi="Arial" w:cs="Arial"/>
          <w:b/>
          <w:sz w:val="22"/>
          <w:szCs w:val="22"/>
        </w:rPr>
        <w:t>4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B161D8" w:rsidRPr="00B161D8" w:rsidRDefault="00B161D8" w:rsidP="00B161D8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B161D8">
        <w:rPr>
          <w:rFonts w:ascii="Arial" w:hAnsi="Arial" w:cs="Arial"/>
          <w:b/>
          <w:sz w:val="22"/>
          <w:szCs w:val="22"/>
        </w:rPr>
        <w:t xml:space="preserve">    Αποδοχή της </w:t>
      </w:r>
      <w:proofErr w:type="spellStart"/>
      <w:r w:rsidRPr="00B161D8">
        <w:rPr>
          <w:rFonts w:ascii="Arial" w:hAnsi="Arial" w:cs="Arial"/>
          <w:b/>
          <w:sz w:val="22"/>
          <w:szCs w:val="22"/>
        </w:rPr>
        <w:t>υπ΄αριθμό</w:t>
      </w:r>
      <w:proofErr w:type="spellEnd"/>
      <w:r w:rsidRPr="00B161D8">
        <w:rPr>
          <w:rFonts w:ascii="Arial" w:hAnsi="Arial" w:cs="Arial"/>
          <w:b/>
          <w:sz w:val="22"/>
          <w:szCs w:val="22"/>
        </w:rPr>
        <w:t xml:space="preserve"> 66/31-08-2023 Τεχνικής Μελέτης με τίτλο : «ΔΗΜΟΤΙΚΗ </w:t>
      </w:r>
    </w:p>
    <w:p w:rsidR="00B161D8" w:rsidRPr="00B161D8" w:rsidRDefault="00B161D8" w:rsidP="00B161D8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B161D8">
        <w:rPr>
          <w:rFonts w:ascii="Arial" w:hAnsi="Arial" w:cs="Arial"/>
          <w:b/>
          <w:sz w:val="22"/>
          <w:szCs w:val="22"/>
        </w:rPr>
        <w:t>ΟΔΟΠΟΙΪΑ ΚΥΡΙΑΚΙΟΥ (Β΄ΦΑΣΗ).</w:t>
      </w:r>
    </w:p>
    <w:p w:rsidR="00531AE2" w:rsidRPr="00880DA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80DA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277FDF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97D8A">
        <w:rPr>
          <w:rFonts w:ascii="Arial" w:eastAsia="Arial" w:hAnsi="Arial" w:cs="Arial"/>
          <w:sz w:val="22"/>
          <w:szCs w:val="22"/>
        </w:rPr>
        <w:t>1</w:t>
      </w:r>
      <w:r w:rsidR="00B161D8">
        <w:rPr>
          <w:rFonts w:ascii="Arial" w:eastAsia="Arial" w:hAnsi="Arial" w:cs="Arial"/>
          <w:sz w:val="22"/>
          <w:szCs w:val="22"/>
        </w:rPr>
        <w:t>1</w:t>
      </w:r>
      <w:r w:rsidRPr="00880D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880DA2">
        <w:rPr>
          <w:rFonts w:ascii="Arial" w:eastAsia="Arial" w:hAnsi="Arial" w:cs="Arial"/>
          <w:sz w:val="22"/>
          <w:szCs w:val="22"/>
        </w:rPr>
        <w:t xml:space="preserve">  θέμα </w:t>
      </w:r>
      <w:r w:rsidRPr="00880DA2">
        <w:rPr>
          <w:rFonts w:ascii="Arial" w:hAnsi="Arial" w:cs="Arial"/>
          <w:sz w:val="22"/>
          <w:szCs w:val="22"/>
        </w:rPr>
        <w:t xml:space="preserve">της </w:t>
      </w:r>
      <w:r w:rsidRPr="00880DA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880D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80DA2">
        <w:rPr>
          <w:rFonts w:ascii="Arial" w:eastAsia="Arial" w:hAnsi="Arial" w:cs="Arial"/>
          <w:sz w:val="22"/>
          <w:szCs w:val="22"/>
        </w:rPr>
        <w:t>. 1</w:t>
      </w:r>
      <w:r w:rsidR="00797D8A">
        <w:rPr>
          <w:rFonts w:ascii="Arial" w:eastAsia="Arial" w:hAnsi="Arial" w:cs="Arial"/>
          <w:sz w:val="22"/>
          <w:szCs w:val="22"/>
        </w:rPr>
        <w:t>7</w:t>
      </w:r>
      <w:r w:rsidR="00B161D8">
        <w:rPr>
          <w:rFonts w:ascii="Arial" w:eastAsia="Arial" w:hAnsi="Arial" w:cs="Arial"/>
          <w:sz w:val="22"/>
          <w:szCs w:val="22"/>
        </w:rPr>
        <w:t>004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C166AA">
        <w:rPr>
          <w:rFonts w:ascii="Arial" w:eastAsia="Arial" w:hAnsi="Arial" w:cs="Arial"/>
          <w:sz w:val="22"/>
          <w:szCs w:val="22"/>
        </w:rPr>
        <w:t>0</w:t>
      </w:r>
      <w:r w:rsidR="00B161D8">
        <w:rPr>
          <w:rFonts w:ascii="Arial" w:eastAsia="Arial" w:hAnsi="Arial" w:cs="Arial"/>
          <w:sz w:val="22"/>
          <w:szCs w:val="22"/>
        </w:rPr>
        <w:t>5</w:t>
      </w:r>
      <w:r w:rsidRPr="00880DA2">
        <w:rPr>
          <w:rFonts w:ascii="Arial" w:eastAsia="Arial" w:hAnsi="Arial" w:cs="Arial"/>
          <w:sz w:val="22"/>
          <w:szCs w:val="22"/>
        </w:rPr>
        <w:t>-0</w:t>
      </w:r>
      <w:r w:rsidR="00880DA2" w:rsidRPr="00880DA2">
        <w:rPr>
          <w:rFonts w:ascii="Arial" w:eastAsia="Arial" w:hAnsi="Arial" w:cs="Arial"/>
          <w:sz w:val="22"/>
          <w:szCs w:val="22"/>
        </w:rPr>
        <w:t>9</w:t>
      </w:r>
      <w:r w:rsidRPr="00880DA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 </w:t>
      </w:r>
      <w:r w:rsidR="00181F92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181F92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181F92">
        <w:rPr>
          <w:rFonts w:ascii="Arial" w:eastAsia="Arial" w:hAnsi="Arial" w:cs="Arial"/>
          <w:sz w:val="22"/>
          <w:szCs w:val="22"/>
        </w:rPr>
        <w:t xml:space="preserve">  Τεχνικών Υπηρεσιών</w:t>
      </w:r>
      <w:r w:rsidR="001227CC">
        <w:rPr>
          <w:rFonts w:ascii="Arial" w:eastAsia="Arial" w:hAnsi="Arial" w:cs="Arial"/>
          <w:sz w:val="22"/>
          <w:szCs w:val="22"/>
        </w:rPr>
        <w:t xml:space="preserve"> </w:t>
      </w:r>
      <w:r w:rsidR="00C23A1D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C23A1D" w:rsidRPr="00880DA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880D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880DA2">
        <w:rPr>
          <w:rFonts w:ascii="Arial" w:hAnsi="Arial" w:cs="Arial"/>
          <w:sz w:val="22"/>
          <w:szCs w:val="22"/>
        </w:rPr>
        <w:t>τα παρακάτω:</w:t>
      </w:r>
      <w:r w:rsidRPr="00880DA2">
        <w:rPr>
          <w:rFonts w:ascii="Arial" w:eastAsia="Arial" w:hAnsi="Arial" w:cs="Arial"/>
          <w:sz w:val="22"/>
          <w:szCs w:val="22"/>
        </w:rPr>
        <w:t xml:space="preserve">   </w:t>
      </w:r>
    </w:p>
    <w:p w:rsidR="004728DD" w:rsidRDefault="004728DD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617D51" w:rsidRPr="00617D51" w:rsidRDefault="00531AE2" w:rsidP="00617D51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880DA2">
        <w:rPr>
          <w:rFonts w:ascii="Arial" w:eastAsia="Calibri" w:hAnsi="Arial" w:cs="Arial"/>
          <w:bCs/>
          <w:sz w:val="22"/>
          <w:szCs w:val="22"/>
        </w:rPr>
        <w:tab/>
      </w:r>
      <w:r w:rsidR="00617D51" w:rsidRPr="00617D51">
        <w:rPr>
          <w:rStyle w:val="2a"/>
          <w:rFonts w:ascii="Arial" w:hAnsi="Arial" w:cs="Arial"/>
          <w:i/>
          <w:color w:val="000000"/>
          <w:sz w:val="22"/>
          <w:szCs w:val="22"/>
        </w:rPr>
        <w:t xml:space="preserve">Αντικείμενο της παρούσας μελέτης που φέρει τον τίτλο : </w:t>
      </w:r>
      <w:bookmarkStart w:id="0" w:name="__DdeLink__230_11826368541"/>
      <w:bookmarkEnd w:id="0"/>
      <w:r w:rsidR="00617D51" w:rsidRPr="00617D51">
        <w:rPr>
          <w:rFonts w:ascii="Arial" w:hAnsi="Arial" w:cs="Arial"/>
          <w:bCs/>
          <w:i/>
          <w:color w:val="000000"/>
          <w:sz w:val="22"/>
          <w:szCs w:val="22"/>
        </w:rPr>
        <w:t xml:space="preserve">« ΔΗΜΟΤΙΚΗ ΟΔΟΠΟΙΪΑ ΚΥΡΙΑΚΙΟΥ (Β’ ΦΑΣΗ) </w:t>
      </w:r>
      <w:r w:rsidR="00617D51" w:rsidRPr="00617D51">
        <w:rPr>
          <w:rFonts w:ascii="Arial" w:eastAsia="Arial Narrow" w:hAnsi="Arial" w:cs="Arial"/>
          <w:bCs/>
          <w:i/>
          <w:color w:val="000000"/>
          <w:sz w:val="22"/>
          <w:szCs w:val="22"/>
        </w:rPr>
        <w:t xml:space="preserve">» </w:t>
      </w:r>
      <w:r w:rsidR="00617D51" w:rsidRPr="00617D51">
        <w:rPr>
          <w:rStyle w:val="2a"/>
          <w:rFonts w:ascii="Arial" w:eastAsia="SimSun" w:hAnsi="Arial" w:cs="Arial"/>
          <w:i/>
          <w:color w:val="000000"/>
          <w:sz w:val="22"/>
          <w:szCs w:val="22"/>
        </w:rPr>
        <w:t>είναι η</w:t>
      </w:r>
      <w:r w:rsidR="00617D51" w:rsidRPr="00617D51">
        <w:rPr>
          <w:rFonts w:ascii="Arial" w:hAnsi="Arial" w:cs="Arial"/>
          <w:bCs/>
          <w:i/>
          <w:sz w:val="22"/>
          <w:szCs w:val="22"/>
        </w:rPr>
        <w:t xml:space="preserve"> παρέμβαση αναβάθμισης των οδικών συνθηκών στην Κοινότητα του </w:t>
      </w:r>
      <w:proofErr w:type="spellStart"/>
      <w:r w:rsidR="00617D51" w:rsidRPr="00617D51">
        <w:rPr>
          <w:rFonts w:ascii="Arial" w:hAnsi="Arial" w:cs="Arial"/>
          <w:bCs/>
          <w:i/>
          <w:sz w:val="22"/>
          <w:szCs w:val="22"/>
        </w:rPr>
        <w:t>Κυριακίου</w:t>
      </w:r>
      <w:proofErr w:type="spellEnd"/>
      <w:r w:rsidR="00617D51" w:rsidRPr="00617D51">
        <w:rPr>
          <w:rFonts w:ascii="Arial" w:hAnsi="Arial" w:cs="Arial"/>
          <w:bCs/>
          <w:i/>
          <w:sz w:val="22"/>
          <w:szCs w:val="22"/>
        </w:rPr>
        <w:t xml:space="preserve"> και τον οικισμό Παναγία </w:t>
      </w:r>
      <w:proofErr w:type="spellStart"/>
      <w:r w:rsidR="00617D51" w:rsidRPr="00617D51">
        <w:rPr>
          <w:rFonts w:ascii="Arial" w:hAnsi="Arial" w:cs="Arial"/>
          <w:bCs/>
          <w:i/>
          <w:sz w:val="22"/>
          <w:szCs w:val="22"/>
        </w:rPr>
        <w:t>Καλαμιώτισσα</w:t>
      </w:r>
      <w:proofErr w:type="spellEnd"/>
      <w:r w:rsidR="00617D51" w:rsidRPr="00617D51">
        <w:rPr>
          <w:rFonts w:ascii="Arial" w:hAnsi="Arial" w:cs="Arial"/>
          <w:bCs/>
          <w:i/>
          <w:sz w:val="22"/>
          <w:szCs w:val="22"/>
        </w:rPr>
        <w:t>, στις κάτωθι θέσεις:</w:t>
      </w:r>
    </w:p>
    <w:p w:rsidR="00617D51" w:rsidRPr="00617D51" w:rsidRDefault="00617D51" w:rsidP="00617D51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bCs/>
          <w:i/>
          <w:sz w:val="22"/>
          <w:szCs w:val="22"/>
        </w:rPr>
        <w:t>Τα τεχνικά στοιχεία του έργου είναι: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>Α. χωματουργικές εργασίες :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Εργασίες εκσκαφής ισοπέδωσης – διαμόρφωσης εδαφών σε έδαφος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γαιωημιβραχώδες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με σκοπό τη εξομάλυνση της οδού όπου κρίνεται αναγκαίο προκειμένου να επιτευχθεί η ενιαία ομοιογένεια και τα υψόμετρα ώστε να εκτελεστούν οι εργασίες οδοστρωσίας και ασφαλτόστρωσης.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Κατασκευή βάσης οδοστρωσίας από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θραυστά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αδρανή υλικά συμπυκνωμένου πάχους 0,15 μ., με τη μεταφορά των υλικών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υπόβασης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από το εγγύτερο πιστοποιημένο λατομείο στην περιοχή του έργου με οποιοδήποτε μέσο στις θέσεις: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>ΚΑΡΥΩΤΗ, ΚΑΡΡΑΙΪΚΑ, ΚΟΥΤΕΪΚΑ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Β. κατασκευή πέτρινου τοιχίου μήκους 120 μ και ύψους 1.00 μ περίπου με μία ορατή όψη αρμολογήματος στην περιοχή του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Καρυώτη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.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Γ. Τσιμεντόστρωση δρόμων με σκυρόδεμα </w:t>
      </w:r>
      <w:r w:rsidRPr="00617D51">
        <w:rPr>
          <w:rFonts w:ascii="Arial" w:hAnsi="Arial" w:cs="Arial"/>
          <w:i/>
          <w:sz w:val="22"/>
          <w:szCs w:val="22"/>
          <w:lang w:val="en-US"/>
        </w:rPr>
        <w:t>C</w:t>
      </w:r>
      <w:r w:rsidRPr="00617D51">
        <w:rPr>
          <w:rFonts w:ascii="Arial" w:hAnsi="Arial" w:cs="Arial"/>
          <w:i/>
          <w:sz w:val="22"/>
          <w:szCs w:val="22"/>
        </w:rPr>
        <w:t xml:space="preserve"> 20/25 στην περιοχή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Σκιπέικα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με συνολική επιφάνεια 2.000,00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>Δ.  Ασφαλτικά :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17D51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ανασφάλτωτης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επιφάνειας με ασφαλτικό διάλυμα, (ασφαλτική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).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Κατασκευή ασφαλτικής στρώσης κυκλοφορίας συμπυκνωμένου πάχους 0,05 μ με θερμό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ασφαλτόμιγμα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αποδεκτής ποιότητας και χαρακτηριστικών σύμφωνα με  την εγκεκριμένη μελέτη σύνθεσης , κυλίνδρωση του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ασφαλτομίγματος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 xml:space="preserve"> όσες φορές κρίνεται αναγκαίο ώστε να προκύψει η προδιαγραφόμενη επιφανειακή υφή και ομαλότητα σύμφωνα με την εγκεκριμένη ΕΤΕΠ 05-03-11-04 στους παρακάτω δρόμους και περιοχές: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1. Κοινότητα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Κυριακίου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: 1.600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2.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Καρυώτη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: 1.200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>3. Συνεργείο: 245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4.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Μπαμπέικα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: 700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sz w:val="22"/>
          <w:szCs w:val="22"/>
        </w:rPr>
        <w:t xml:space="preserve">5. </w:t>
      </w:r>
      <w:proofErr w:type="spellStart"/>
      <w:r w:rsidRPr="00617D51">
        <w:rPr>
          <w:rFonts w:ascii="Arial" w:hAnsi="Arial" w:cs="Arial"/>
          <w:i/>
          <w:sz w:val="22"/>
          <w:szCs w:val="22"/>
        </w:rPr>
        <w:t>Καρραίϊκα</w:t>
      </w:r>
      <w:proofErr w:type="spellEnd"/>
      <w:r w:rsidRPr="00617D51">
        <w:rPr>
          <w:rFonts w:ascii="Arial" w:hAnsi="Arial" w:cs="Arial"/>
          <w:i/>
          <w:sz w:val="22"/>
          <w:szCs w:val="22"/>
        </w:rPr>
        <w:t>: 400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color w:val="000000"/>
          <w:sz w:val="22"/>
          <w:szCs w:val="22"/>
        </w:rPr>
        <w:t xml:space="preserve">6. </w:t>
      </w:r>
      <w:proofErr w:type="spellStart"/>
      <w:r w:rsidRPr="00617D51">
        <w:rPr>
          <w:rFonts w:ascii="Arial" w:hAnsi="Arial" w:cs="Arial"/>
          <w:i/>
          <w:color w:val="000000"/>
          <w:sz w:val="22"/>
          <w:szCs w:val="22"/>
        </w:rPr>
        <w:t>Κουτέικα</w:t>
      </w:r>
      <w:proofErr w:type="spellEnd"/>
      <w:r w:rsidRPr="00617D51">
        <w:rPr>
          <w:rFonts w:ascii="Arial" w:hAnsi="Arial" w:cs="Arial"/>
          <w:i/>
          <w:color w:val="000000"/>
          <w:sz w:val="22"/>
          <w:szCs w:val="22"/>
        </w:rPr>
        <w:t>: 1.600 μ2</w:t>
      </w:r>
    </w:p>
    <w:p w:rsidR="00617D51" w:rsidRPr="00617D51" w:rsidRDefault="00617D51" w:rsidP="00617D51">
      <w:pPr>
        <w:jc w:val="both"/>
        <w:rPr>
          <w:rFonts w:ascii="Arial" w:hAnsi="Arial" w:cs="Arial"/>
          <w:i/>
          <w:sz w:val="22"/>
          <w:szCs w:val="22"/>
        </w:rPr>
      </w:pPr>
    </w:p>
    <w:p w:rsidR="00617D51" w:rsidRPr="00617D51" w:rsidRDefault="00617D51" w:rsidP="00617D51">
      <w:pPr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color w:val="000000"/>
          <w:sz w:val="22"/>
          <w:szCs w:val="22"/>
        </w:rPr>
        <w:tab/>
        <w:t xml:space="preserve">Η εν λόγω μελέτη συντάχθηκε και θεωρήθηκε από την Τεχνική Υπηρεσία του Δήμου </w:t>
      </w:r>
      <w:proofErr w:type="spellStart"/>
      <w:r w:rsidRPr="00617D51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617D51">
        <w:rPr>
          <w:rFonts w:ascii="Arial" w:hAnsi="Arial" w:cs="Arial"/>
          <w:i/>
          <w:color w:val="000000"/>
          <w:sz w:val="22"/>
          <w:szCs w:val="22"/>
        </w:rPr>
        <w:t xml:space="preserve"> με τον αριθμό </w:t>
      </w:r>
      <w:r w:rsidRPr="00617D51">
        <w:rPr>
          <w:rFonts w:ascii="Arial" w:hAnsi="Arial" w:cs="Arial"/>
          <w:bCs/>
          <w:i/>
          <w:color w:val="000000"/>
          <w:sz w:val="22"/>
          <w:szCs w:val="22"/>
        </w:rPr>
        <w:t>66/2023</w:t>
      </w:r>
      <w:r w:rsidRPr="00617D51">
        <w:rPr>
          <w:rFonts w:ascii="Arial" w:hAnsi="Arial" w:cs="Arial"/>
          <w:i/>
          <w:color w:val="000000"/>
          <w:sz w:val="22"/>
          <w:szCs w:val="22"/>
        </w:rPr>
        <w:t xml:space="preserve"> , και ο προϋπολογισμός της ανέρχεται στο ποσό των </w:t>
      </w:r>
      <w:r w:rsidRPr="00617D51">
        <w:rPr>
          <w:rFonts w:ascii="Arial" w:hAnsi="Arial" w:cs="Arial"/>
          <w:bCs/>
          <w:i/>
          <w:color w:val="000000"/>
          <w:sz w:val="22"/>
          <w:szCs w:val="22"/>
        </w:rPr>
        <w:t xml:space="preserve">157.555,64 € </w:t>
      </w:r>
      <w:r w:rsidRPr="00617D51">
        <w:rPr>
          <w:rFonts w:ascii="Arial" w:hAnsi="Arial" w:cs="Arial"/>
          <w:i/>
          <w:color w:val="000000"/>
          <w:sz w:val="22"/>
          <w:szCs w:val="22"/>
        </w:rPr>
        <w:t>συμπεριλαμβανομένου του Φ.Π.Α. 24% .</w:t>
      </w:r>
    </w:p>
    <w:p w:rsidR="00617D51" w:rsidRPr="00617D51" w:rsidRDefault="00617D51" w:rsidP="00617D51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Style w:val="2a"/>
          <w:rFonts w:ascii="Arial" w:hAnsi="Arial" w:cs="Arial"/>
          <w:i/>
          <w:color w:val="2A313F"/>
          <w:sz w:val="22"/>
          <w:szCs w:val="22"/>
        </w:rPr>
        <w:tab/>
      </w:r>
      <w:r w:rsidRPr="00617D51">
        <w:rPr>
          <w:rStyle w:val="2a"/>
          <w:rFonts w:ascii="Arial" w:eastAsia="Calibri Light" w:hAnsi="Arial" w:cs="Arial"/>
          <w:i/>
          <w:sz w:val="22"/>
          <w:szCs w:val="22"/>
        </w:rPr>
        <w:tab/>
      </w:r>
      <w:r w:rsidRPr="00617D51">
        <w:rPr>
          <w:rStyle w:val="2a"/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617D51" w:rsidRPr="00617D51" w:rsidRDefault="00617D51" w:rsidP="00617D51">
      <w:pPr>
        <w:pStyle w:val="af1"/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 w:rsidRPr="00617D51">
        <w:rPr>
          <w:rFonts w:ascii="Arial" w:hAnsi="Arial" w:cs="Arial"/>
          <w:i/>
          <w:color w:val="000000"/>
          <w:sz w:val="22"/>
          <w:szCs w:val="22"/>
        </w:rPr>
        <w:tab/>
      </w:r>
      <w:r w:rsidRPr="00617D51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617D51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617D51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617D51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» , καλούνται τα μέλη της Οικονομικής Επιτροπής του Δήμου </w:t>
      </w:r>
      <w:proofErr w:type="spellStart"/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617D51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1" w:name="__DdeLink__230_11826368542"/>
      <w:bookmarkStart w:id="2" w:name="__DdeLink__5530_32392532011"/>
      <w:bookmarkEnd w:id="1"/>
      <w:proofErr w:type="spellEnd"/>
      <w:r w:rsidRPr="00617D5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End w:id="2"/>
      <w:r w:rsidRPr="00617D5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66/31.08.2023  Τεχνικής Μελέτης με τίτλο: </w:t>
      </w:r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Start w:id="3" w:name="__DdeLink__5530_32392532012"/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«ΔΗΜΟΤΙΚΗ ΟΔΟΠΟΙΙΑ ΚΥΡΙΑΚΙΟΥ (Β΄ΦΑΣΗ) </w:t>
      </w:r>
      <w:r w:rsidRPr="00617D51">
        <w:rPr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bookmarkStart w:id="4" w:name="__DdeLink__230_11826368544"/>
      <w:bookmarkEnd w:id="4"/>
      <w:r w:rsidRPr="00617D5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3"/>
      <w:r w:rsidRPr="00617D5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617D51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617D5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157.555,64€  </w:t>
      </w:r>
      <w:r w:rsidRPr="00617D51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617D51">
        <w:rPr>
          <w:rFonts w:ascii="Arial" w:hAnsi="Arial" w:cs="Arial"/>
          <w:i/>
          <w:sz w:val="22"/>
          <w:szCs w:val="22"/>
        </w:rPr>
        <w:tab/>
      </w:r>
    </w:p>
    <w:p w:rsidR="00617D51" w:rsidRPr="00617D51" w:rsidRDefault="00617D51" w:rsidP="00617D51">
      <w:pPr>
        <w:pStyle w:val="29"/>
        <w:ind w:right="906"/>
        <w:jc w:val="both"/>
        <w:rPr>
          <w:rFonts w:ascii="Arial" w:hAnsi="Arial" w:cs="Arial"/>
          <w:bCs/>
          <w:i/>
          <w:sz w:val="22"/>
          <w:szCs w:val="22"/>
        </w:rPr>
      </w:pPr>
    </w:p>
    <w:p w:rsidR="00C23A1D" w:rsidRPr="00617D51" w:rsidRDefault="00531AE2" w:rsidP="006854B1">
      <w:pPr>
        <w:tabs>
          <w:tab w:val="left" w:pos="360"/>
          <w:tab w:val="left" w:pos="6237"/>
        </w:tabs>
        <w:rPr>
          <w:rFonts w:ascii="Arial" w:hAnsi="Arial" w:cs="Arial"/>
          <w:bCs/>
          <w:i/>
          <w:sz w:val="20"/>
          <w:szCs w:val="20"/>
        </w:rPr>
      </w:pPr>
      <w:r w:rsidRPr="00617D51">
        <w:rPr>
          <w:rStyle w:val="1f0"/>
          <w:rFonts w:ascii="Arial" w:hAnsi="Arial" w:cs="Arial"/>
          <w:i/>
          <w:color w:val="000000"/>
          <w:sz w:val="22"/>
          <w:szCs w:val="22"/>
        </w:rPr>
        <w:tab/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80DA2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880DA2">
        <w:rPr>
          <w:rFonts w:ascii="Arial" w:hAnsi="Arial" w:cs="Arial"/>
          <w:bCs/>
          <w:sz w:val="22"/>
          <w:szCs w:val="22"/>
        </w:rPr>
        <w:t xml:space="preserve">υ     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</w:t>
      </w:r>
      <w:r w:rsidRPr="00880DA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 xml:space="preserve">»  </w:t>
      </w:r>
    </w:p>
    <w:p w:rsidR="00C23A1D" w:rsidRPr="006854B1" w:rsidRDefault="00C23A1D" w:rsidP="00C23A1D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880DA2">
        <w:rPr>
          <w:rFonts w:ascii="Arial" w:hAnsi="Arial" w:cs="Arial"/>
          <w:color w:val="00000A"/>
          <w:sz w:val="22"/>
          <w:szCs w:val="22"/>
        </w:rPr>
        <w:t>-</w:t>
      </w:r>
      <w:r w:rsidRPr="006854B1">
        <w:rPr>
          <w:rFonts w:ascii="Arial" w:hAnsi="Arial" w:cs="Arial"/>
          <w:color w:val="00000A"/>
          <w:sz w:val="22"/>
          <w:szCs w:val="22"/>
        </w:rPr>
        <w:t>Το άρθρο 1</w:t>
      </w:r>
      <w:r w:rsidRPr="006854B1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6854B1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6854B1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6854B1" w:rsidRPr="006854B1" w:rsidRDefault="0068281C" w:rsidP="006854B1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6854B1">
        <w:rPr>
          <w:rFonts w:ascii="Arial" w:eastAsia="Verdana" w:hAnsi="Arial" w:cs="Arial"/>
          <w:color w:val="000000"/>
          <w:sz w:val="22"/>
          <w:szCs w:val="22"/>
        </w:rPr>
        <w:t>-</w:t>
      </w:r>
      <w:r w:rsidR="006854B1" w:rsidRPr="006854B1">
        <w:rPr>
          <w:rFonts w:ascii="Arial" w:eastAsia="Verdana" w:hAnsi="Arial" w:cs="Arial"/>
          <w:color w:val="000000"/>
          <w:sz w:val="22"/>
          <w:szCs w:val="22"/>
        </w:rPr>
        <w:t xml:space="preserve">Την αριθ. 66/2023 </w:t>
      </w:r>
      <w:r w:rsidR="006854B1" w:rsidRPr="006854B1">
        <w:rPr>
          <w:rFonts w:ascii="Arial" w:hAnsi="Arial" w:cs="Arial"/>
          <w:sz w:val="22"/>
          <w:szCs w:val="22"/>
        </w:rPr>
        <w:t xml:space="preserve">Τεχνική  Μελέτη  με τίτλο : «ΔΗΜΟΤΙΚΗ ΟΔΟΠΟΙΪΑ ΚΥΡΙΑΚΙΟΥ (Β΄ΦΑΣΗ) </w:t>
      </w:r>
      <w:r w:rsidR="006854B1" w:rsidRPr="006854B1">
        <w:rPr>
          <w:rFonts w:ascii="Arial" w:hAnsi="Arial" w:cs="Arial"/>
          <w:color w:val="000000"/>
          <w:sz w:val="22"/>
          <w:szCs w:val="22"/>
        </w:rPr>
        <w:t xml:space="preserve">προϋπολογισμού </w:t>
      </w:r>
      <w:r w:rsidR="006854B1" w:rsidRPr="006854B1">
        <w:rPr>
          <w:rFonts w:ascii="Arial" w:hAnsi="Arial" w:cs="Arial"/>
          <w:bCs/>
          <w:color w:val="000000"/>
          <w:sz w:val="22"/>
          <w:szCs w:val="22"/>
        </w:rPr>
        <w:t xml:space="preserve">157.555,64 € </w:t>
      </w:r>
      <w:r w:rsidR="006854B1" w:rsidRPr="006854B1">
        <w:rPr>
          <w:rFonts w:ascii="Arial" w:hAnsi="Arial" w:cs="Arial"/>
          <w:color w:val="000000"/>
          <w:sz w:val="22"/>
          <w:szCs w:val="22"/>
        </w:rPr>
        <w:t>συμπεριλαμβανομένου του Φ.Π.Α. 24%</w:t>
      </w:r>
    </w:p>
    <w:p w:rsidR="00C23A1D" w:rsidRPr="00AF55C2" w:rsidRDefault="00C23A1D" w:rsidP="007C11A3">
      <w:pPr>
        <w:suppressAutoHyphens w:val="0"/>
        <w:spacing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9D531A" w:rsidRPr="00880DA2">
        <w:rPr>
          <w:rFonts w:ascii="Arial" w:eastAsia="Arial" w:hAnsi="Arial" w:cs="Arial"/>
          <w:sz w:val="22"/>
          <w:szCs w:val="22"/>
        </w:rPr>
        <w:t>1</w:t>
      </w:r>
      <w:r w:rsidR="007C11A3">
        <w:rPr>
          <w:rFonts w:ascii="Arial" w:eastAsia="Arial" w:hAnsi="Arial" w:cs="Arial"/>
          <w:sz w:val="22"/>
          <w:szCs w:val="22"/>
        </w:rPr>
        <w:t>7</w:t>
      </w:r>
      <w:r w:rsidR="006854B1">
        <w:rPr>
          <w:rFonts w:ascii="Arial" w:eastAsia="Arial" w:hAnsi="Arial" w:cs="Arial"/>
          <w:sz w:val="22"/>
          <w:szCs w:val="22"/>
        </w:rPr>
        <w:t>004</w:t>
      </w:r>
      <w:r w:rsidR="009D531A" w:rsidRPr="00880DA2">
        <w:rPr>
          <w:rFonts w:ascii="Arial" w:eastAsia="Arial" w:hAnsi="Arial" w:cs="Arial"/>
          <w:sz w:val="22"/>
          <w:szCs w:val="22"/>
        </w:rPr>
        <w:t>/</w:t>
      </w:r>
      <w:r w:rsidR="009D531A">
        <w:rPr>
          <w:rFonts w:ascii="Arial" w:eastAsia="Arial" w:hAnsi="Arial" w:cs="Arial"/>
          <w:sz w:val="22"/>
          <w:szCs w:val="22"/>
        </w:rPr>
        <w:t>0</w:t>
      </w:r>
      <w:r w:rsidR="006854B1">
        <w:rPr>
          <w:rFonts w:ascii="Arial" w:eastAsia="Arial" w:hAnsi="Arial" w:cs="Arial"/>
          <w:sz w:val="22"/>
          <w:szCs w:val="22"/>
        </w:rPr>
        <w:t>5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-09-2023   έγγραφο </w:t>
      </w:r>
      <w:r w:rsidR="009D531A">
        <w:rPr>
          <w:rFonts w:ascii="Arial" w:eastAsia="Arial" w:hAnsi="Arial" w:cs="Arial"/>
          <w:sz w:val="22"/>
          <w:szCs w:val="22"/>
        </w:rPr>
        <w:t xml:space="preserve"> </w:t>
      </w:r>
      <w:r w:rsidR="0068281C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8281C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8281C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="009D531A">
        <w:rPr>
          <w:rFonts w:ascii="Arial" w:eastAsia="Arial" w:hAnsi="Arial" w:cs="Arial"/>
          <w:sz w:val="22"/>
          <w:szCs w:val="22"/>
        </w:rPr>
        <w:t xml:space="preserve"> 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9D531A" w:rsidRPr="00AF55C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AF55C2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C23A1D" w:rsidRPr="00880DA2" w:rsidRDefault="00C23A1D" w:rsidP="00C23A1D">
      <w:pPr>
        <w:pStyle w:val="DocumentMap"/>
        <w:jc w:val="both"/>
        <w:rPr>
          <w:rFonts w:ascii="Arial" w:hAnsi="Arial" w:cs="Arial"/>
        </w:rPr>
      </w:pPr>
      <w:r w:rsidRPr="00880DA2">
        <w:rPr>
          <w:rFonts w:ascii="Arial" w:hAnsi="Arial" w:cs="Arial"/>
        </w:rPr>
        <w:t>-Την μεταξύ των μελών συζήτηση σύμφωνα με τα πρακτικά</w:t>
      </w:r>
    </w:p>
    <w:p w:rsid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6854B1" w:rsidRDefault="006854B1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54B1" w:rsidRDefault="006854B1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54B1" w:rsidRDefault="006854B1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54B1" w:rsidRDefault="006854B1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80DA2" w:rsidRDefault="00880DA2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181F92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181F92">
        <w:rPr>
          <w:rFonts w:ascii="Arial" w:hAnsi="Arial" w:cs="Arial"/>
          <w:b/>
          <w:sz w:val="22"/>
          <w:szCs w:val="22"/>
        </w:rPr>
        <w:t xml:space="preserve"> ΑΠΟΦΑΣΙΖΕΙ   ΟΜΟΦΩΝΑ</w:t>
      </w: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0376" w:rsidRPr="006854B1" w:rsidRDefault="00FF140A" w:rsidP="00DB2DA0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</w:t>
      </w:r>
      <w:r w:rsidR="006854B1" w:rsidRPr="006854B1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</w:t>
      </w:r>
      <w:proofErr w:type="spellStart"/>
      <w:r w:rsidR="006854B1" w:rsidRPr="006854B1">
        <w:rPr>
          <w:rFonts w:ascii="Arial" w:eastAsia="SimSun" w:hAnsi="Arial" w:cs="Arial"/>
          <w:color w:val="000000"/>
          <w:sz w:val="22"/>
          <w:szCs w:val="22"/>
        </w:rPr>
        <w:t>υπ΄αριθμό</w:t>
      </w:r>
      <w:proofErr w:type="spellEnd"/>
      <w:r w:rsidR="006854B1" w:rsidRP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 66/31.08.2023  Τεχνική</w:t>
      </w:r>
      <w:r w:rsid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6854B1" w:rsidRP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 Μελέτη</w:t>
      </w:r>
      <w:r w:rsid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6854B1" w:rsidRP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 με τίτλο: </w:t>
      </w:r>
      <w:r w:rsidR="006854B1" w:rsidRPr="006854B1">
        <w:rPr>
          <w:rFonts w:ascii="Arial" w:eastAsia="SimSun" w:hAnsi="Arial" w:cs="Arial"/>
          <w:bCs/>
          <w:color w:val="000000"/>
          <w:sz w:val="22"/>
          <w:szCs w:val="22"/>
        </w:rPr>
        <w:t xml:space="preserve"> «ΔΗΜΟΤΙΚΗ ΟΔΟΠΟΙΙΑ ΚΥΡΙΑΚΙΟΥ (Β΄ΦΑΣΗ) </w:t>
      </w:r>
      <w:r w:rsidR="006854B1" w:rsidRPr="006854B1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6854B1" w:rsidRPr="006854B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6854B1" w:rsidRP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6854B1" w:rsidRPr="006854B1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6854B1" w:rsidRPr="006854B1">
        <w:rPr>
          <w:rFonts w:ascii="Arial" w:eastAsia="SimSun" w:hAnsi="Arial" w:cs="Arial"/>
          <w:bCs/>
          <w:color w:val="1B1B1B"/>
          <w:sz w:val="22"/>
          <w:szCs w:val="22"/>
        </w:rPr>
        <w:t xml:space="preserve">157.555,64€  </w:t>
      </w:r>
      <w:r w:rsidR="006854B1" w:rsidRPr="006854B1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6854B1">
        <w:rPr>
          <w:rFonts w:ascii="Arial" w:eastAsia="SimSun" w:hAnsi="Arial" w:cs="Arial"/>
          <w:color w:val="1B1B1B"/>
          <w:sz w:val="22"/>
          <w:szCs w:val="22"/>
        </w:rPr>
        <w:t>.</w:t>
      </w:r>
    </w:p>
    <w:p w:rsidR="00C23A1D" w:rsidRPr="00181F92" w:rsidRDefault="00C23A1D" w:rsidP="00C23A1D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</w:p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730173">
        <w:rPr>
          <w:rFonts w:ascii="Arial" w:hAnsi="Arial" w:cs="Arial"/>
          <w:szCs w:val="22"/>
        </w:rPr>
        <w:t>9</w:t>
      </w:r>
      <w:r w:rsidR="0072037C">
        <w:rPr>
          <w:rFonts w:ascii="Arial" w:hAnsi="Arial" w:cs="Arial"/>
          <w:szCs w:val="22"/>
        </w:rPr>
        <w:t>4</w:t>
      </w:r>
      <w:r w:rsidR="00730173">
        <w:rPr>
          <w:rFonts w:ascii="Arial" w:hAnsi="Arial" w:cs="Arial"/>
          <w:szCs w:val="22"/>
        </w:rPr>
        <w:t>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4728DD">
        <w:rPr>
          <w:rFonts w:ascii="Arial" w:hAnsi="Arial" w:cs="Arial"/>
          <w:sz w:val="22"/>
          <w:szCs w:val="22"/>
        </w:rPr>
        <w:t>4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B7" w:rsidRDefault="008E31B7">
      <w:r>
        <w:separator/>
      </w:r>
    </w:p>
  </w:endnote>
  <w:endnote w:type="continuationSeparator" w:id="0">
    <w:p w:rsidR="008E31B7" w:rsidRDefault="008E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B7" w:rsidRDefault="008E31B7">
      <w:r>
        <w:separator/>
      </w:r>
    </w:p>
  </w:footnote>
  <w:footnote w:type="continuationSeparator" w:id="0">
    <w:p w:rsidR="008E31B7" w:rsidRDefault="008E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AE08C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AE08C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1357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647C40"/>
    <w:multiLevelType w:val="hybridMultilevel"/>
    <w:tmpl w:val="11DA2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71678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4">
    <w:nsid w:val="6C647CB7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6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8"/>
  </w:num>
  <w:num w:numId="21">
    <w:abstractNumId w:val="11"/>
  </w:num>
  <w:num w:numId="22">
    <w:abstractNumId w:val="33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2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7"/>
  </w:num>
  <w:num w:numId="35">
    <w:abstractNumId w:val="2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3"/>
  </w:num>
  <w:num w:numId="39">
    <w:abstractNumId w:val="31"/>
  </w:num>
  <w:num w:numId="4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2F4A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227CC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77FDF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467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28DD"/>
    <w:rsid w:val="00476DAD"/>
    <w:rsid w:val="00477A14"/>
    <w:rsid w:val="00481423"/>
    <w:rsid w:val="00482DC2"/>
    <w:rsid w:val="0048586E"/>
    <w:rsid w:val="004901FD"/>
    <w:rsid w:val="00495AB0"/>
    <w:rsid w:val="004A1682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4D5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17D51"/>
    <w:rsid w:val="00620870"/>
    <w:rsid w:val="00621EF6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8281C"/>
    <w:rsid w:val="006854B1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37C"/>
    <w:rsid w:val="007207BF"/>
    <w:rsid w:val="00724EDC"/>
    <w:rsid w:val="00730173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97D8A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3188"/>
    <w:rsid w:val="007C3C96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31B7"/>
    <w:rsid w:val="008E4426"/>
    <w:rsid w:val="008F1A92"/>
    <w:rsid w:val="008F26A1"/>
    <w:rsid w:val="008F36F5"/>
    <w:rsid w:val="008F68AE"/>
    <w:rsid w:val="009008E7"/>
    <w:rsid w:val="009048B6"/>
    <w:rsid w:val="00905BE6"/>
    <w:rsid w:val="00907BA7"/>
    <w:rsid w:val="009113F5"/>
    <w:rsid w:val="00911A73"/>
    <w:rsid w:val="0091203E"/>
    <w:rsid w:val="00920FC0"/>
    <w:rsid w:val="0092163D"/>
    <w:rsid w:val="00922F97"/>
    <w:rsid w:val="00923F1E"/>
    <w:rsid w:val="00931460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1A"/>
    <w:rsid w:val="009D5331"/>
    <w:rsid w:val="009D77FF"/>
    <w:rsid w:val="009E0D7D"/>
    <w:rsid w:val="009F3590"/>
    <w:rsid w:val="009F4B5B"/>
    <w:rsid w:val="00A050F8"/>
    <w:rsid w:val="00A06A8A"/>
    <w:rsid w:val="00A078D6"/>
    <w:rsid w:val="00A1357D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08CC"/>
    <w:rsid w:val="00AE14E6"/>
    <w:rsid w:val="00AF55C2"/>
    <w:rsid w:val="00B04804"/>
    <w:rsid w:val="00B04994"/>
    <w:rsid w:val="00B050E7"/>
    <w:rsid w:val="00B10908"/>
    <w:rsid w:val="00B161D8"/>
    <w:rsid w:val="00B16BE3"/>
    <w:rsid w:val="00B175F5"/>
    <w:rsid w:val="00B17633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05FBE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2221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3349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paragraph" w:customStyle="1" w:styleId="29">
    <w:name w:val="Απλό κείμενο2"/>
    <w:basedOn w:val="a"/>
    <w:rsid w:val="00617D51"/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617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659-F215-4DEE-B9E2-00586F51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6895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2023-07-26T06:34:00Z</cp:lastPrinted>
  <dcterms:created xsi:type="dcterms:W3CDTF">2023-09-14T05:46:00Z</dcterms:created>
  <dcterms:modified xsi:type="dcterms:W3CDTF">2023-09-14T07:30:00Z</dcterms:modified>
</cp:coreProperties>
</file>