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0E2" w:rsidRDefault="003A743D" w:rsidP="00D32247">
      <w:pPr>
        <w:autoSpaceDE w:val="0"/>
        <w:ind w:left="5387" w:hanging="5387"/>
        <w:rPr>
          <w:rFonts w:ascii="Arial" w:eastAsia="Arial" w:hAnsi="Arial" w:cs="Arial"/>
          <w:b/>
          <w:bCs/>
          <w:sz w:val="22"/>
          <w:szCs w:val="22"/>
        </w:rPr>
      </w:pPr>
      <w:r>
        <w:rPr>
          <w:rFonts w:ascii="Arial" w:eastAsia="Arial" w:hAnsi="Arial" w:cs="Arial"/>
          <w:b/>
          <w:bCs/>
          <w:sz w:val="22"/>
          <w:szCs w:val="22"/>
        </w:rPr>
        <w:t xml:space="preserve">                                                                                        </w:t>
      </w:r>
    </w:p>
    <w:p w:rsidR="00B100E2" w:rsidRDefault="00B100E2" w:rsidP="00B100E2">
      <w:pPr>
        <w:suppressAutoHyphens w:val="0"/>
        <w:autoSpaceDE w:val="0"/>
        <w:spacing w:line="276" w:lineRule="auto"/>
        <w:ind w:left="5748"/>
        <w:rPr>
          <w:sz w:val="22"/>
          <w:szCs w:val="22"/>
        </w:rPr>
      </w:pPr>
      <w:r>
        <w:rPr>
          <w:rFonts w:ascii="Arial" w:eastAsia="Arial" w:hAnsi="Arial" w:cs="Arial"/>
          <w:b/>
          <w:bCs/>
          <w:sz w:val="22"/>
          <w:szCs w:val="22"/>
        </w:rPr>
        <w:t xml:space="preserve">      </w:t>
      </w:r>
    </w:p>
    <w:p w:rsidR="00B100E2" w:rsidRPr="00D11539" w:rsidRDefault="00B100E2" w:rsidP="00B100E2">
      <w:pPr>
        <w:suppressAutoHyphens w:val="0"/>
        <w:autoSpaceDE w:val="0"/>
        <w:rPr>
          <w:b/>
          <w:sz w:val="22"/>
          <w:szCs w:val="22"/>
        </w:rPr>
      </w:pPr>
      <w:r>
        <w:rPr>
          <w:rFonts w:ascii="Arial" w:eastAsia="Arial" w:hAnsi="Arial" w:cs="Arial"/>
          <w:b/>
          <w:bCs/>
          <w:sz w:val="22"/>
          <w:szCs w:val="22"/>
        </w:rPr>
        <w:t xml:space="preserve">                                                                   </w:t>
      </w:r>
      <w:r w:rsidRPr="00D11539">
        <w:rPr>
          <w:b/>
          <w:sz w:val="22"/>
          <w:szCs w:val="22"/>
        </w:rPr>
        <w:t>ΑΠΟΣΠΑΣΜΑ</w:t>
      </w:r>
    </w:p>
    <w:p w:rsidR="00B100E2" w:rsidRPr="00D11539" w:rsidRDefault="00B100E2" w:rsidP="00B100E2">
      <w:pPr>
        <w:jc w:val="center"/>
        <w:rPr>
          <w:b/>
          <w:sz w:val="22"/>
          <w:szCs w:val="22"/>
        </w:rPr>
      </w:pPr>
      <w:r w:rsidRPr="00D11539">
        <w:rPr>
          <w:b/>
          <w:sz w:val="22"/>
          <w:szCs w:val="22"/>
        </w:rPr>
        <w:t xml:space="preserve">Από το πρακτικό της </w:t>
      </w:r>
      <w:proofErr w:type="spellStart"/>
      <w:r w:rsidRPr="00D11539">
        <w:rPr>
          <w:b/>
          <w:sz w:val="22"/>
          <w:szCs w:val="22"/>
        </w:rPr>
        <w:t>αριθμ</w:t>
      </w:r>
      <w:proofErr w:type="spellEnd"/>
      <w:r w:rsidRPr="00D11539">
        <w:rPr>
          <w:b/>
          <w:sz w:val="22"/>
          <w:szCs w:val="22"/>
        </w:rPr>
        <w:t>. 10</w:t>
      </w:r>
      <w:r w:rsidRPr="00D11539">
        <w:rPr>
          <w:b/>
          <w:sz w:val="22"/>
          <w:szCs w:val="22"/>
          <w:vertAlign w:val="superscript"/>
        </w:rPr>
        <w:t>ης</w:t>
      </w:r>
      <w:r w:rsidRPr="00D11539">
        <w:rPr>
          <w:b/>
          <w:sz w:val="22"/>
          <w:szCs w:val="22"/>
        </w:rPr>
        <w:t xml:space="preserve">  /2023  Τακτικής Συνεδρίασης</w:t>
      </w:r>
    </w:p>
    <w:p w:rsidR="00B100E2" w:rsidRPr="00D11539" w:rsidRDefault="00B100E2" w:rsidP="00B100E2">
      <w:pPr>
        <w:rPr>
          <w:b/>
          <w:sz w:val="22"/>
          <w:szCs w:val="22"/>
        </w:rPr>
      </w:pPr>
      <w:r w:rsidRPr="00D11539">
        <w:rPr>
          <w:rFonts w:eastAsia="Arial"/>
          <w:b/>
          <w:sz w:val="22"/>
          <w:szCs w:val="22"/>
        </w:rPr>
        <w:t xml:space="preserve">                                   </w:t>
      </w:r>
      <w:r w:rsidRPr="00D11539">
        <w:rPr>
          <w:b/>
          <w:sz w:val="22"/>
          <w:szCs w:val="22"/>
        </w:rPr>
        <w:t xml:space="preserve">της  Οικονομικής Επιτροπής  Δήμου </w:t>
      </w:r>
      <w:proofErr w:type="spellStart"/>
      <w:r w:rsidRPr="00D11539">
        <w:rPr>
          <w:b/>
          <w:sz w:val="22"/>
          <w:szCs w:val="22"/>
        </w:rPr>
        <w:t>Λεβαδέων</w:t>
      </w:r>
      <w:proofErr w:type="spellEnd"/>
    </w:p>
    <w:p w:rsidR="00B100E2" w:rsidRPr="00D11539" w:rsidRDefault="00B100E2" w:rsidP="00B100E2">
      <w:pPr>
        <w:suppressAutoHyphens w:val="0"/>
        <w:autoSpaceDE w:val="0"/>
        <w:rPr>
          <w:b/>
          <w:sz w:val="22"/>
          <w:szCs w:val="22"/>
        </w:rPr>
      </w:pPr>
    </w:p>
    <w:p w:rsidR="00B100E2" w:rsidRPr="00D11539" w:rsidRDefault="00B100E2" w:rsidP="00B100E2">
      <w:pPr>
        <w:jc w:val="center"/>
        <w:rPr>
          <w:b/>
          <w:sz w:val="22"/>
          <w:szCs w:val="22"/>
        </w:rPr>
      </w:pPr>
      <w:r w:rsidRPr="00D11539">
        <w:rPr>
          <w:b/>
          <w:sz w:val="22"/>
          <w:szCs w:val="22"/>
        </w:rPr>
        <w:t>Αριθμός απόφασης : 5</w:t>
      </w:r>
      <w:r w:rsidR="00D32247" w:rsidRPr="00D11539">
        <w:rPr>
          <w:b/>
          <w:sz w:val="22"/>
          <w:szCs w:val="22"/>
        </w:rPr>
        <w:t>9</w:t>
      </w:r>
      <w:r w:rsidRPr="00D11539">
        <w:rPr>
          <w:b/>
          <w:sz w:val="22"/>
          <w:szCs w:val="22"/>
        </w:rPr>
        <w:t xml:space="preserve"> </w:t>
      </w:r>
    </w:p>
    <w:p w:rsidR="00D32247" w:rsidRPr="00D11539" w:rsidRDefault="00D32247" w:rsidP="00D32247">
      <w:pPr>
        <w:rPr>
          <w:b/>
          <w:bCs/>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D11539">
        <w:rPr>
          <w:b/>
          <w:bCs/>
          <w:sz w:val="22"/>
          <w:szCs w:val="22"/>
        </w:rPr>
        <w:t xml:space="preserve">Καθορισμός όρων διακήρυξης του ηλεκτρονικού ανοικτού διαγωνισμού άνω των ορίων, με τίτλο:   «Ενίσχυση της </w:t>
      </w:r>
      <w:proofErr w:type="spellStart"/>
      <w:r w:rsidRPr="00D11539">
        <w:rPr>
          <w:b/>
          <w:bCs/>
          <w:sz w:val="22"/>
          <w:szCs w:val="22"/>
        </w:rPr>
        <w:t>μικροκινητικότητας</w:t>
      </w:r>
      <w:proofErr w:type="spellEnd"/>
      <w:r w:rsidRPr="00D11539">
        <w:rPr>
          <w:b/>
          <w:bCs/>
          <w:sz w:val="22"/>
          <w:szCs w:val="22"/>
        </w:rPr>
        <w:t xml:space="preserve"> στο Δήμο </w:t>
      </w:r>
      <w:proofErr w:type="spellStart"/>
      <w:r w:rsidRPr="00D11539">
        <w:rPr>
          <w:b/>
          <w:bCs/>
          <w:sz w:val="22"/>
          <w:szCs w:val="22"/>
        </w:rPr>
        <w:t>Λεβαδέων</w:t>
      </w:r>
      <w:proofErr w:type="spellEnd"/>
      <w:r w:rsidRPr="00D11539">
        <w:rPr>
          <w:b/>
          <w:sz w:val="22"/>
          <w:szCs w:val="22"/>
        </w:rPr>
        <w:t xml:space="preserve">» </w:t>
      </w:r>
      <w:r w:rsidRPr="00D11539">
        <w:rPr>
          <w:b/>
          <w:bCs/>
          <w:sz w:val="22"/>
          <w:szCs w:val="22"/>
        </w:rPr>
        <w:t xml:space="preserve">, </w:t>
      </w:r>
      <w:r w:rsidRPr="00D11539">
        <w:rPr>
          <w:rFonts w:eastAsia="Cambria"/>
          <w:b/>
          <w:sz w:val="22"/>
          <w:szCs w:val="22"/>
        </w:rPr>
        <w:t xml:space="preserve">ενδεικτικού προϋπολογισμού   </w:t>
      </w:r>
      <w:r w:rsidRPr="00D11539">
        <w:rPr>
          <w:rFonts w:eastAsia="Cambria"/>
          <w:b/>
          <w:color w:val="666666"/>
          <w:sz w:val="22"/>
          <w:szCs w:val="22"/>
        </w:rPr>
        <w:t xml:space="preserve"> </w:t>
      </w:r>
      <w:r w:rsidRPr="00D11539">
        <w:rPr>
          <w:b/>
          <w:bCs/>
          <w:sz w:val="22"/>
          <w:szCs w:val="22"/>
        </w:rPr>
        <w:t>248.000,00</w:t>
      </w:r>
      <w:r w:rsidRPr="00D11539">
        <w:rPr>
          <w:b/>
          <w:sz w:val="22"/>
          <w:szCs w:val="22"/>
        </w:rPr>
        <w:t xml:space="preserve"> € με Φ.Π.Α. 24%.</w:t>
      </w:r>
    </w:p>
    <w:p w:rsidR="00B100E2" w:rsidRPr="00D11539" w:rsidRDefault="00B100E2" w:rsidP="00B100E2">
      <w:pPr>
        <w:rPr>
          <w:rFonts w:eastAsia="SimSun"/>
          <w:b/>
          <w:sz w:val="22"/>
          <w:szCs w:val="22"/>
        </w:rPr>
      </w:pPr>
    </w:p>
    <w:p w:rsidR="00204BB1" w:rsidRPr="00D11539" w:rsidRDefault="00953E3A" w:rsidP="00204BB1">
      <w:pPr>
        <w:pStyle w:val="35"/>
        <w:ind w:left="284"/>
        <w:jc w:val="both"/>
        <w:rPr>
          <w:sz w:val="22"/>
          <w:szCs w:val="22"/>
        </w:rPr>
      </w:pPr>
      <w:r w:rsidRPr="00D11539">
        <w:rPr>
          <w:sz w:val="22"/>
          <w:szCs w:val="22"/>
        </w:rPr>
        <w:t xml:space="preserve">        </w:t>
      </w:r>
      <w:r w:rsidR="00204BB1" w:rsidRPr="00D11539">
        <w:rPr>
          <w:rFonts w:eastAsia="Arial"/>
          <w:sz w:val="22"/>
          <w:szCs w:val="22"/>
        </w:rPr>
        <w:t xml:space="preserve">   </w:t>
      </w:r>
      <w:r w:rsidR="00204BB1" w:rsidRPr="00D11539">
        <w:rPr>
          <w:sz w:val="22"/>
          <w:szCs w:val="22"/>
        </w:rPr>
        <w:t>Στη Λιβαδειά σήμερα  7</w:t>
      </w:r>
      <w:r w:rsidR="00204BB1" w:rsidRPr="00D11539">
        <w:rPr>
          <w:sz w:val="22"/>
          <w:szCs w:val="22"/>
          <w:vertAlign w:val="superscript"/>
        </w:rPr>
        <w:t>η</w:t>
      </w:r>
      <w:r w:rsidR="00204BB1" w:rsidRPr="00D11539">
        <w:rPr>
          <w:sz w:val="22"/>
          <w:szCs w:val="22"/>
        </w:rPr>
        <w:t xml:space="preserve">  Απριλίου  2023  ημέρα   Παρασκευή , ώρα 13,00  και στην αίθουσα συνεδριάσεων του Δημοτικού Συμβουλίου  </w:t>
      </w:r>
      <w:proofErr w:type="spellStart"/>
      <w:r w:rsidR="00204BB1" w:rsidRPr="00D11539">
        <w:rPr>
          <w:sz w:val="22"/>
          <w:szCs w:val="22"/>
        </w:rPr>
        <w:t>Λεβαδέων</w:t>
      </w:r>
      <w:proofErr w:type="spellEnd"/>
      <w:r w:rsidR="00204BB1" w:rsidRPr="00D11539">
        <w:rPr>
          <w:sz w:val="22"/>
          <w:szCs w:val="22"/>
        </w:rPr>
        <w:t xml:space="preserve"> στο Παλαιό Δημαρχείο – Πλατεία Εθνικής Αντίστασης συνεδρίασε η Οικονομική Επιτροπή Δήμου </w:t>
      </w:r>
      <w:proofErr w:type="spellStart"/>
      <w:r w:rsidR="00204BB1" w:rsidRPr="00D11539">
        <w:rPr>
          <w:sz w:val="22"/>
          <w:szCs w:val="22"/>
        </w:rPr>
        <w:t>Λεβαδέων</w:t>
      </w:r>
      <w:proofErr w:type="spellEnd"/>
      <w:r w:rsidR="00204BB1" w:rsidRPr="00D11539">
        <w:rPr>
          <w:sz w:val="22"/>
          <w:szCs w:val="22"/>
        </w:rPr>
        <w:t xml:space="preserve"> μετά την από  6421/03-04-2023 έγγραφη πρόσκληση του  Προέδρου της (Δημάρχου </w:t>
      </w:r>
      <w:proofErr w:type="spellStart"/>
      <w:r w:rsidR="00204BB1" w:rsidRPr="00D11539">
        <w:rPr>
          <w:sz w:val="22"/>
          <w:szCs w:val="22"/>
        </w:rPr>
        <w:t>Λεβαδέων</w:t>
      </w:r>
      <w:proofErr w:type="spellEnd"/>
      <w:r w:rsidR="00204BB1" w:rsidRPr="00D11539">
        <w:rPr>
          <w:sz w:val="22"/>
          <w:szCs w:val="22"/>
        </w:rPr>
        <w:t>) σε εφαρμογή των διατάξεων α) Του άρθρου 77 του Ν. 4555/2018 , β)Των  διατάξεων του  άρθρου 40 του Ν.4735/2020 που αντικατέστησε το άρθρο 72 το</w:t>
      </w:r>
      <w:r w:rsidR="00204BB1" w:rsidRPr="00D11539">
        <w:rPr>
          <w:bCs/>
          <w:sz w:val="22"/>
          <w:szCs w:val="22"/>
        </w:rPr>
        <w:t>υ  .3852/2</w:t>
      </w:r>
      <w:r w:rsidR="00204BB1" w:rsidRPr="00D11539">
        <w:rPr>
          <w:rFonts w:eastAsia="Verdana"/>
          <w:bCs/>
          <w:iCs/>
          <w:sz w:val="22"/>
          <w:szCs w:val="22"/>
        </w:rPr>
        <w:t xml:space="preserve">010 </w:t>
      </w:r>
      <w:r w:rsidR="00204BB1" w:rsidRPr="00D11539">
        <w:rPr>
          <w:sz w:val="22"/>
          <w:szCs w:val="22"/>
        </w:rPr>
        <w:t>γ) Των</w:t>
      </w:r>
      <w:r w:rsidR="00204BB1" w:rsidRPr="00D11539">
        <w:rPr>
          <w:bCs/>
          <w:sz w:val="22"/>
          <w:szCs w:val="22"/>
        </w:rPr>
        <w:t xml:space="preserve"> διατάξεων της </w:t>
      </w:r>
      <w:proofErr w:type="spellStart"/>
      <w:r w:rsidR="00204BB1" w:rsidRPr="00D11539">
        <w:rPr>
          <w:bCs/>
          <w:sz w:val="22"/>
          <w:szCs w:val="22"/>
        </w:rPr>
        <w:t>υπ΄αριθμ</w:t>
      </w:r>
      <w:proofErr w:type="spellEnd"/>
      <w:r w:rsidR="00204BB1" w:rsidRPr="00D11539">
        <w:rPr>
          <w:bCs/>
          <w:sz w:val="22"/>
          <w:szCs w:val="22"/>
        </w:rPr>
        <w:t xml:space="preserve"> 374/2022</w:t>
      </w:r>
      <w:r w:rsidR="00204BB1" w:rsidRPr="00D11539">
        <w:rPr>
          <w:bCs/>
          <w:sz w:val="22"/>
          <w:szCs w:val="22"/>
          <w:u w:val="single"/>
        </w:rPr>
        <w:t xml:space="preserve"> εγκυκλίου του ΥΠ.ΕΣ. (ΑΔΑ: ΨΜΓΓ46ΜΤΛ6-Φ75) </w:t>
      </w:r>
      <w:r w:rsidR="00204BB1" w:rsidRPr="00D11539">
        <w:rPr>
          <w:bCs/>
          <w:sz w:val="22"/>
          <w:szCs w:val="22"/>
        </w:rPr>
        <w:t>«Λειτουργία Οικονομικής Επιτροπής και Επιτροπής Ποιότητας Ζωής</w:t>
      </w:r>
      <w:r w:rsidR="00204BB1" w:rsidRPr="00D11539">
        <w:rPr>
          <w:sz w:val="22"/>
          <w:szCs w:val="22"/>
        </w:rPr>
        <w:t>» δ) Των διατάξεων του Ν. 5013/2023</w:t>
      </w:r>
    </w:p>
    <w:p w:rsidR="00204BB1" w:rsidRPr="00D11539" w:rsidRDefault="00204BB1" w:rsidP="00204BB1">
      <w:pPr>
        <w:ind w:left="432" w:hanging="432"/>
        <w:rPr>
          <w:sz w:val="22"/>
          <w:szCs w:val="22"/>
        </w:rPr>
      </w:pPr>
      <w:r w:rsidRPr="00D11539">
        <w:rPr>
          <w:rFonts w:eastAsia="Arial"/>
          <w:sz w:val="22"/>
          <w:szCs w:val="22"/>
        </w:rPr>
        <w:t xml:space="preserve">         </w:t>
      </w:r>
      <w:r w:rsidRPr="00D11539">
        <w:rPr>
          <w:sz w:val="22"/>
          <w:szCs w:val="22"/>
        </w:rPr>
        <w:t>Αφού  διαπιστώθηκε ότι υπάρχει νόμιμη απαρτία, επειδή σε σύνολο 9 μελών ήταν παρόντες       6 , ήτοι:</w:t>
      </w:r>
    </w:p>
    <w:p w:rsidR="00204BB1" w:rsidRPr="00D11539" w:rsidRDefault="00204BB1" w:rsidP="00204BB1">
      <w:pPr>
        <w:ind w:left="432" w:hanging="432"/>
        <w:rPr>
          <w:sz w:val="22"/>
          <w:szCs w:val="22"/>
        </w:rPr>
      </w:pPr>
    </w:p>
    <w:p w:rsidR="00204BB1" w:rsidRPr="00D11539" w:rsidRDefault="00204BB1" w:rsidP="00204BB1">
      <w:pPr>
        <w:ind w:left="432" w:hanging="432"/>
        <w:jc w:val="both"/>
        <w:rPr>
          <w:sz w:val="22"/>
          <w:szCs w:val="22"/>
        </w:rPr>
      </w:pPr>
    </w:p>
    <w:p w:rsidR="00204BB1" w:rsidRPr="00D11539" w:rsidRDefault="00204BB1" w:rsidP="00204BB1">
      <w:pPr>
        <w:jc w:val="both"/>
        <w:rPr>
          <w:b/>
          <w:sz w:val="22"/>
          <w:szCs w:val="22"/>
        </w:rPr>
      </w:pPr>
      <w:r w:rsidRPr="00D11539">
        <w:rPr>
          <w:b/>
          <w:sz w:val="22"/>
          <w:szCs w:val="22"/>
        </w:rPr>
        <w:tab/>
        <w:t xml:space="preserve">                  ΠΑΡΟΝΤΕΣ                                                                 ΑΠΟΝΤΕΣ</w:t>
      </w:r>
    </w:p>
    <w:p w:rsidR="00204BB1" w:rsidRPr="00D11539" w:rsidRDefault="00204BB1" w:rsidP="00204BB1">
      <w:pPr>
        <w:tabs>
          <w:tab w:val="left" w:pos="360"/>
          <w:tab w:val="left" w:pos="6237"/>
        </w:tabs>
        <w:rPr>
          <w:sz w:val="22"/>
          <w:szCs w:val="22"/>
        </w:rPr>
      </w:pPr>
      <w:r w:rsidRPr="00D11539">
        <w:rPr>
          <w:color w:val="000000"/>
          <w:sz w:val="22"/>
          <w:szCs w:val="22"/>
        </w:rPr>
        <w:t xml:space="preserve">     </w:t>
      </w:r>
      <w:r w:rsidRPr="00D11539">
        <w:rPr>
          <w:sz w:val="22"/>
          <w:szCs w:val="22"/>
        </w:rPr>
        <w:t xml:space="preserve"> 1.Ταγκαλεγκας Ιωάννης                                                        1. </w:t>
      </w:r>
      <w:proofErr w:type="spellStart"/>
      <w:r w:rsidRPr="00D11539">
        <w:rPr>
          <w:sz w:val="22"/>
          <w:szCs w:val="22"/>
        </w:rPr>
        <w:t>Καπλάνης</w:t>
      </w:r>
      <w:proofErr w:type="spellEnd"/>
      <w:r w:rsidRPr="00D11539">
        <w:rPr>
          <w:sz w:val="22"/>
          <w:szCs w:val="22"/>
        </w:rPr>
        <w:t xml:space="preserve"> Κωνσταντίνος</w:t>
      </w:r>
    </w:p>
    <w:p w:rsidR="00204BB1" w:rsidRPr="00D11539" w:rsidRDefault="00204BB1" w:rsidP="00204BB1">
      <w:pPr>
        <w:tabs>
          <w:tab w:val="left" w:pos="360"/>
          <w:tab w:val="left" w:pos="6237"/>
        </w:tabs>
        <w:ind w:left="360"/>
        <w:rPr>
          <w:sz w:val="22"/>
          <w:szCs w:val="22"/>
        </w:rPr>
      </w:pPr>
      <w:r w:rsidRPr="00D11539">
        <w:rPr>
          <w:sz w:val="22"/>
          <w:szCs w:val="22"/>
        </w:rPr>
        <w:t xml:space="preserve">2. </w:t>
      </w:r>
      <w:proofErr w:type="spellStart"/>
      <w:r w:rsidRPr="00D11539">
        <w:rPr>
          <w:sz w:val="22"/>
          <w:szCs w:val="22"/>
        </w:rPr>
        <w:t>Μητάς</w:t>
      </w:r>
      <w:proofErr w:type="spellEnd"/>
      <w:r w:rsidRPr="00D11539">
        <w:rPr>
          <w:sz w:val="22"/>
          <w:szCs w:val="22"/>
        </w:rPr>
        <w:t xml:space="preserve"> Αλέξανδρος                                                            2. </w:t>
      </w:r>
      <w:proofErr w:type="spellStart"/>
      <w:r w:rsidRPr="00D11539">
        <w:rPr>
          <w:sz w:val="22"/>
          <w:szCs w:val="22"/>
        </w:rPr>
        <w:t>Πούλος</w:t>
      </w:r>
      <w:proofErr w:type="spellEnd"/>
      <w:r w:rsidRPr="00D11539">
        <w:rPr>
          <w:sz w:val="22"/>
          <w:szCs w:val="22"/>
        </w:rPr>
        <w:t xml:space="preserve"> Ευάγγελος</w:t>
      </w:r>
    </w:p>
    <w:p w:rsidR="00204BB1" w:rsidRPr="00D11539" w:rsidRDefault="00204BB1" w:rsidP="00204BB1">
      <w:pPr>
        <w:tabs>
          <w:tab w:val="left" w:pos="360"/>
          <w:tab w:val="left" w:pos="6237"/>
        </w:tabs>
        <w:ind w:left="360"/>
        <w:rPr>
          <w:sz w:val="22"/>
          <w:szCs w:val="22"/>
        </w:rPr>
      </w:pPr>
      <w:r w:rsidRPr="00D11539">
        <w:rPr>
          <w:sz w:val="22"/>
          <w:szCs w:val="22"/>
        </w:rPr>
        <w:t>3.</w:t>
      </w:r>
      <w:r w:rsidRPr="00D11539">
        <w:rPr>
          <w:sz w:val="22"/>
          <w:szCs w:val="22"/>
          <w:lang w:val="en-US"/>
        </w:rPr>
        <w:t>K</w:t>
      </w:r>
      <w:proofErr w:type="spellStart"/>
      <w:r w:rsidRPr="00D11539">
        <w:rPr>
          <w:sz w:val="22"/>
          <w:szCs w:val="22"/>
        </w:rPr>
        <w:t>αλογρηάς</w:t>
      </w:r>
      <w:proofErr w:type="spellEnd"/>
      <w:r w:rsidRPr="00D11539">
        <w:rPr>
          <w:sz w:val="22"/>
          <w:szCs w:val="22"/>
        </w:rPr>
        <w:t xml:space="preserve"> Αθανάσιος                                                       3.Καραμάνης Δημήτριος  </w:t>
      </w:r>
    </w:p>
    <w:p w:rsidR="00204BB1" w:rsidRPr="00D11539" w:rsidRDefault="00204BB1" w:rsidP="00204BB1">
      <w:pPr>
        <w:tabs>
          <w:tab w:val="left" w:pos="360"/>
          <w:tab w:val="left" w:pos="6237"/>
        </w:tabs>
        <w:ind w:left="360"/>
        <w:rPr>
          <w:sz w:val="22"/>
          <w:szCs w:val="22"/>
        </w:rPr>
      </w:pPr>
      <w:r w:rsidRPr="00D11539">
        <w:rPr>
          <w:sz w:val="22"/>
          <w:szCs w:val="22"/>
        </w:rPr>
        <w:t>4.Σαγιάννης Μιχαήλ                                                           Αν και είχαν νόμιμα προσκληθεί</w:t>
      </w:r>
    </w:p>
    <w:p w:rsidR="00204BB1" w:rsidRPr="00D11539" w:rsidRDefault="00204BB1" w:rsidP="00204BB1">
      <w:pPr>
        <w:tabs>
          <w:tab w:val="left" w:pos="360"/>
          <w:tab w:val="left" w:pos="6237"/>
        </w:tabs>
        <w:ind w:left="360"/>
        <w:rPr>
          <w:sz w:val="22"/>
          <w:szCs w:val="22"/>
        </w:rPr>
      </w:pPr>
      <w:r w:rsidRPr="00D11539">
        <w:rPr>
          <w:sz w:val="22"/>
          <w:szCs w:val="22"/>
        </w:rPr>
        <w:t xml:space="preserve">5.Μερτζάνης </w:t>
      </w:r>
      <w:proofErr w:type="spellStart"/>
      <w:r w:rsidRPr="00D11539">
        <w:rPr>
          <w:sz w:val="22"/>
          <w:szCs w:val="22"/>
        </w:rPr>
        <w:t>Κωσταντίνος</w:t>
      </w:r>
      <w:proofErr w:type="spellEnd"/>
      <w:r w:rsidRPr="00D11539">
        <w:rPr>
          <w:sz w:val="22"/>
          <w:szCs w:val="22"/>
        </w:rPr>
        <w:t xml:space="preserve"> </w:t>
      </w:r>
    </w:p>
    <w:p w:rsidR="00204BB1" w:rsidRPr="00D11539" w:rsidRDefault="00204BB1" w:rsidP="00204BB1">
      <w:pPr>
        <w:tabs>
          <w:tab w:val="left" w:pos="360"/>
          <w:tab w:val="left" w:pos="6237"/>
        </w:tabs>
        <w:ind w:left="360"/>
        <w:rPr>
          <w:sz w:val="22"/>
          <w:szCs w:val="22"/>
        </w:rPr>
      </w:pPr>
      <w:r w:rsidRPr="00D11539">
        <w:rPr>
          <w:sz w:val="22"/>
          <w:szCs w:val="22"/>
        </w:rPr>
        <w:t xml:space="preserve">6.Μπράλιος Νικόλαος </w:t>
      </w:r>
    </w:p>
    <w:p w:rsidR="00B100E2" w:rsidRPr="00D11539" w:rsidRDefault="00B100E2" w:rsidP="00204BB1">
      <w:pPr>
        <w:pStyle w:val="35"/>
        <w:ind w:left="284"/>
        <w:jc w:val="both"/>
        <w:rPr>
          <w:rFonts w:eastAsia="Arial"/>
          <w:b/>
          <w:bCs/>
          <w:sz w:val="22"/>
          <w:szCs w:val="22"/>
        </w:rPr>
      </w:pPr>
      <w:r w:rsidRPr="00D11539">
        <w:rPr>
          <w:rFonts w:eastAsia="Arial"/>
          <w:b/>
          <w:bCs/>
          <w:sz w:val="22"/>
          <w:szCs w:val="22"/>
        </w:rPr>
        <w:t xml:space="preserve"> </w:t>
      </w:r>
    </w:p>
    <w:p w:rsidR="00AA1978" w:rsidRPr="00D11539" w:rsidRDefault="006E4A8B" w:rsidP="00B100E2">
      <w:pPr>
        <w:suppressAutoHyphens w:val="0"/>
        <w:autoSpaceDE w:val="0"/>
        <w:rPr>
          <w:rFonts w:eastAsia="Arial"/>
          <w:sz w:val="22"/>
          <w:szCs w:val="22"/>
        </w:rPr>
      </w:pPr>
      <w:r w:rsidRPr="00D11539">
        <w:rPr>
          <w:rFonts w:eastAsia="Arial"/>
          <w:sz w:val="20"/>
          <w:szCs w:val="20"/>
        </w:rPr>
        <w:t xml:space="preserve">  </w:t>
      </w:r>
      <w:r w:rsidR="00AA1978" w:rsidRPr="00D11539">
        <w:rPr>
          <w:rFonts w:eastAsia="Arial"/>
          <w:sz w:val="22"/>
          <w:szCs w:val="22"/>
        </w:rPr>
        <w:t>Ο Πρόεδρος της Οικονομικής Επιτροπής κήρυξε την έναρξη της συνεδρίασης.</w:t>
      </w:r>
    </w:p>
    <w:p w:rsidR="00AA1978" w:rsidRPr="00D11539" w:rsidRDefault="00AA1978" w:rsidP="00AA1978">
      <w:pPr>
        <w:suppressAutoHyphens w:val="0"/>
        <w:autoSpaceDE w:val="0"/>
        <w:rPr>
          <w:rFonts w:eastAsia="Arial"/>
          <w:i/>
          <w:sz w:val="22"/>
          <w:szCs w:val="22"/>
        </w:rPr>
      </w:pPr>
    </w:p>
    <w:p w:rsidR="00AA1978" w:rsidRPr="00D11539" w:rsidRDefault="00AA1978" w:rsidP="00D32247">
      <w:pPr>
        <w:rPr>
          <w:rFonts w:eastAsia="SimSun"/>
          <w:b/>
          <w:sz w:val="22"/>
          <w:szCs w:val="22"/>
          <w:highlight w:val="white"/>
        </w:rPr>
      </w:pPr>
      <w:r w:rsidRPr="00D11539">
        <w:rPr>
          <w:rFonts w:eastAsia="Arial"/>
          <w:sz w:val="22"/>
          <w:szCs w:val="22"/>
        </w:rPr>
        <w:t xml:space="preserve">Ενημέρωσε το σώμα ότι υποβλήθηκε η   </w:t>
      </w:r>
      <w:proofErr w:type="spellStart"/>
      <w:r w:rsidRPr="00D11539">
        <w:rPr>
          <w:rFonts w:eastAsia="Arial"/>
          <w:sz w:val="22"/>
          <w:szCs w:val="22"/>
        </w:rPr>
        <w:t>υπ΄αριθμ</w:t>
      </w:r>
      <w:proofErr w:type="spellEnd"/>
      <w:r w:rsidRPr="00D11539">
        <w:rPr>
          <w:rFonts w:eastAsia="Arial"/>
          <w:sz w:val="22"/>
          <w:szCs w:val="22"/>
        </w:rPr>
        <w:t xml:space="preserve">. </w:t>
      </w:r>
      <w:proofErr w:type="spellStart"/>
      <w:r w:rsidRPr="00D11539">
        <w:rPr>
          <w:rFonts w:eastAsia="Arial"/>
          <w:sz w:val="22"/>
          <w:szCs w:val="22"/>
        </w:rPr>
        <w:t>πρωτ</w:t>
      </w:r>
      <w:proofErr w:type="spellEnd"/>
      <w:r w:rsidRPr="00D11539">
        <w:rPr>
          <w:rFonts w:eastAsia="Arial"/>
          <w:sz w:val="22"/>
          <w:szCs w:val="22"/>
        </w:rPr>
        <w:t xml:space="preserve">. </w:t>
      </w:r>
      <w:r w:rsidR="00B100E2" w:rsidRPr="00D11539">
        <w:rPr>
          <w:rFonts w:eastAsia="Arial"/>
          <w:sz w:val="22"/>
          <w:szCs w:val="22"/>
        </w:rPr>
        <w:t>6</w:t>
      </w:r>
      <w:r w:rsidR="00D32247" w:rsidRPr="00D11539">
        <w:rPr>
          <w:rFonts w:eastAsia="Arial"/>
          <w:sz w:val="22"/>
          <w:szCs w:val="22"/>
        </w:rPr>
        <w:t>843</w:t>
      </w:r>
      <w:r w:rsidRPr="00D11539">
        <w:rPr>
          <w:rFonts w:eastAsia="Arial"/>
          <w:sz w:val="22"/>
          <w:szCs w:val="22"/>
        </w:rPr>
        <w:t>/</w:t>
      </w:r>
      <w:r w:rsidR="00B100E2" w:rsidRPr="00D11539">
        <w:rPr>
          <w:rFonts w:eastAsia="Arial"/>
          <w:sz w:val="22"/>
          <w:szCs w:val="22"/>
        </w:rPr>
        <w:t>0</w:t>
      </w:r>
      <w:r w:rsidR="00D32247" w:rsidRPr="00D11539">
        <w:rPr>
          <w:rFonts w:eastAsia="Arial"/>
          <w:sz w:val="22"/>
          <w:szCs w:val="22"/>
        </w:rPr>
        <w:t>7</w:t>
      </w:r>
      <w:r w:rsidRPr="00D11539">
        <w:rPr>
          <w:rFonts w:eastAsia="Arial"/>
          <w:sz w:val="22"/>
          <w:szCs w:val="22"/>
        </w:rPr>
        <w:t>-0</w:t>
      </w:r>
      <w:r w:rsidR="00B100E2" w:rsidRPr="00D11539">
        <w:rPr>
          <w:rFonts w:eastAsia="Arial"/>
          <w:sz w:val="22"/>
          <w:szCs w:val="22"/>
        </w:rPr>
        <w:t>4</w:t>
      </w:r>
      <w:r w:rsidRPr="00D11539">
        <w:rPr>
          <w:rFonts w:eastAsia="Arial"/>
          <w:sz w:val="22"/>
          <w:szCs w:val="22"/>
        </w:rPr>
        <w:t xml:space="preserve">-2023 </w:t>
      </w:r>
      <w:r w:rsidRPr="00D11539">
        <w:rPr>
          <w:rFonts w:eastAsia="Verdana"/>
          <w:color w:val="000000"/>
          <w:sz w:val="22"/>
          <w:szCs w:val="22"/>
        </w:rPr>
        <w:t xml:space="preserve">έγγραφη εισήγηση   </w:t>
      </w:r>
      <w:r w:rsidR="005A7554" w:rsidRPr="00D11539">
        <w:rPr>
          <w:rFonts w:eastAsia="Arial"/>
          <w:sz w:val="22"/>
          <w:szCs w:val="22"/>
        </w:rPr>
        <w:t xml:space="preserve">του Τμ. Προϋπολογισμού ,Λογιστηρίου &amp; Προμηθειών </w:t>
      </w:r>
      <w:r w:rsidR="005A7554" w:rsidRPr="00D11539">
        <w:rPr>
          <w:rFonts w:eastAsia="Verdana"/>
          <w:color w:val="000000"/>
          <w:sz w:val="22"/>
          <w:szCs w:val="22"/>
        </w:rPr>
        <w:t xml:space="preserve"> τ</w:t>
      </w:r>
      <w:r w:rsidR="005A7554" w:rsidRPr="00D11539">
        <w:rPr>
          <w:sz w:val="22"/>
          <w:szCs w:val="22"/>
        </w:rPr>
        <w:t xml:space="preserve">ου Δήμου </w:t>
      </w:r>
      <w:proofErr w:type="spellStart"/>
      <w:r w:rsidR="005A7554" w:rsidRPr="00D11539">
        <w:rPr>
          <w:sz w:val="22"/>
          <w:szCs w:val="22"/>
        </w:rPr>
        <w:t>Λεβαδέων</w:t>
      </w:r>
      <w:proofErr w:type="spellEnd"/>
      <w:r w:rsidR="005A7554" w:rsidRPr="00D11539">
        <w:rPr>
          <w:sz w:val="22"/>
          <w:szCs w:val="22"/>
        </w:rPr>
        <w:t xml:space="preserve">  </w:t>
      </w:r>
      <w:r w:rsidRPr="00D11539">
        <w:rPr>
          <w:sz w:val="22"/>
          <w:szCs w:val="22"/>
        </w:rPr>
        <w:t xml:space="preserve"> </w:t>
      </w:r>
      <w:r w:rsidRPr="00D11539">
        <w:rPr>
          <w:rFonts w:eastAsia="Verdana"/>
          <w:color w:val="000000"/>
          <w:sz w:val="22"/>
          <w:szCs w:val="22"/>
        </w:rPr>
        <w:t xml:space="preserve">με </w:t>
      </w:r>
      <w:r w:rsidRPr="00D11539">
        <w:rPr>
          <w:rFonts w:eastAsia="Arial"/>
          <w:sz w:val="22"/>
          <w:szCs w:val="22"/>
        </w:rPr>
        <w:t xml:space="preserve"> θέμα</w:t>
      </w:r>
      <w:r w:rsidR="005A7554" w:rsidRPr="00D11539">
        <w:rPr>
          <w:rFonts w:eastAsia="Arial"/>
          <w:sz w:val="22"/>
          <w:szCs w:val="22"/>
        </w:rPr>
        <w:t xml:space="preserve"> :</w:t>
      </w:r>
      <w:r w:rsidRPr="00D11539">
        <w:rPr>
          <w:rFonts w:eastAsia="Arial"/>
          <w:sz w:val="22"/>
          <w:szCs w:val="22"/>
        </w:rPr>
        <w:t xml:space="preserve"> </w:t>
      </w:r>
      <w:proofErr w:type="spellStart"/>
      <w:r w:rsidR="005A7554" w:rsidRPr="00D11539">
        <w:rPr>
          <w:rFonts w:eastAsia="Arial"/>
          <w:i/>
          <w:sz w:val="22"/>
          <w:szCs w:val="22"/>
        </w:rPr>
        <w:t>΄΄</w:t>
      </w:r>
      <w:proofErr w:type="spellEnd"/>
      <w:r w:rsidR="00B100E2" w:rsidRPr="00D11539">
        <w:rPr>
          <w:rFonts w:eastAsia="SimSun"/>
          <w:i/>
          <w:sz w:val="22"/>
          <w:szCs w:val="22"/>
          <w:highlight w:val="white"/>
        </w:rPr>
        <w:t xml:space="preserve"> </w:t>
      </w:r>
      <w:r w:rsidR="00D32247" w:rsidRPr="00D11539">
        <w:rPr>
          <w:bCs/>
          <w:i/>
          <w:sz w:val="22"/>
          <w:szCs w:val="22"/>
        </w:rPr>
        <w:t xml:space="preserve"> Καθορισμός όρων διακήρυξης του ηλεκτρονικού ανοικτού διαγωνισμού άνω των ορίων, με τίτλο:   «Ενίσχυση της </w:t>
      </w:r>
      <w:proofErr w:type="spellStart"/>
      <w:r w:rsidR="00D32247" w:rsidRPr="00D11539">
        <w:rPr>
          <w:bCs/>
          <w:i/>
          <w:sz w:val="22"/>
          <w:szCs w:val="22"/>
        </w:rPr>
        <w:t>μικροκινητικότητας</w:t>
      </w:r>
      <w:proofErr w:type="spellEnd"/>
      <w:r w:rsidR="00D32247" w:rsidRPr="00D11539">
        <w:rPr>
          <w:bCs/>
          <w:i/>
          <w:sz w:val="22"/>
          <w:szCs w:val="22"/>
        </w:rPr>
        <w:t xml:space="preserve"> στο Δήμο </w:t>
      </w:r>
      <w:proofErr w:type="spellStart"/>
      <w:r w:rsidR="00D32247" w:rsidRPr="00D11539">
        <w:rPr>
          <w:bCs/>
          <w:i/>
          <w:sz w:val="22"/>
          <w:szCs w:val="22"/>
        </w:rPr>
        <w:t>Λεβαδέων</w:t>
      </w:r>
      <w:proofErr w:type="spellEnd"/>
      <w:r w:rsidR="00D32247" w:rsidRPr="00D11539">
        <w:rPr>
          <w:i/>
          <w:sz w:val="22"/>
          <w:szCs w:val="22"/>
        </w:rPr>
        <w:t xml:space="preserve">» </w:t>
      </w:r>
      <w:r w:rsidR="00D32247" w:rsidRPr="00D11539">
        <w:rPr>
          <w:bCs/>
          <w:i/>
          <w:sz w:val="22"/>
          <w:szCs w:val="22"/>
        </w:rPr>
        <w:t xml:space="preserve">, </w:t>
      </w:r>
      <w:r w:rsidR="00D32247" w:rsidRPr="00D11539">
        <w:rPr>
          <w:rFonts w:eastAsia="Cambria"/>
          <w:i/>
          <w:sz w:val="22"/>
          <w:szCs w:val="22"/>
        </w:rPr>
        <w:t xml:space="preserve">ενδεικτικού προϋπολογισμού   </w:t>
      </w:r>
      <w:r w:rsidR="00D32247" w:rsidRPr="00D11539">
        <w:rPr>
          <w:rFonts w:eastAsia="Cambria"/>
          <w:i/>
          <w:color w:val="666666"/>
          <w:sz w:val="22"/>
          <w:szCs w:val="22"/>
        </w:rPr>
        <w:t xml:space="preserve"> </w:t>
      </w:r>
      <w:r w:rsidR="00D32247" w:rsidRPr="00D11539">
        <w:rPr>
          <w:bCs/>
          <w:i/>
          <w:sz w:val="22"/>
          <w:szCs w:val="22"/>
        </w:rPr>
        <w:t>248.000,00</w:t>
      </w:r>
      <w:r w:rsidR="00D32247" w:rsidRPr="00D11539">
        <w:rPr>
          <w:i/>
          <w:sz w:val="22"/>
          <w:szCs w:val="22"/>
        </w:rPr>
        <w:t xml:space="preserve"> € με Φ.Π.Α. 24% </w:t>
      </w:r>
      <w:proofErr w:type="spellStart"/>
      <w:r w:rsidR="005A7554" w:rsidRPr="00D11539">
        <w:rPr>
          <w:rFonts w:eastAsia="SimSun"/>
          <w:i/>
          <w:sz w:val="22"/>
          <w:szCs w:val="22"/>
          <w:highlight w:val="white"/>
        </w:rPr>
        <w:t>΄΄</w:t>
      </w:r>
      <w:proofErr w:type="spellEnd"/>
      <w:r w:rsidR="005A7554" w:rsidRPr="00D11539">
        <w:rPr>
          <w:rFonts w:eastAsia="SimSun"/>
          <w:sz w:val="22"/>
          <w:szCs w:val="22"/>
          <w:highlight w:val="white"/>
        </w:rPr>
        <w:t xml:space="preserve"> </w:t>
      </w:r>
      <w:r w:rsidRPr="00D11539">
        <w:rPr>
          <w:rFonts w:eastAsia="SimSun"/>
          <w:sz w:val="22"/>
          <w:szCs w:val="22"/>
        </w:rPr>
        <w:t xml:space="preserve">για συζήτηση του θέματος </w:t>
      </w:r>
      <w:r w:rsidRPr="00D11539">
        <w:rPr>
          <w:sz w:val="22"/>
          <w:szCs w:val="22"/>
        </w:rPr>
        <w:t>εκτός ημερήσιας διάταξης ως κατεπείγον .</w:t>
      </w:r>
    </w:p>
    <w:p w:rsidR="00AA1978" w:rsidRPr="00D11539" w:rsidRDefault="00AA1978" w:rsidP="00AA1978">
      <w:pPr>
        <w:spacing w:line="276" w:lineRule="auto"/>
        <w:rPr>
          <w:rFonts w:eastAsia="Arial"/>
          <w:bCs/>
          <w:iCs/>
          <w:sz w:val="22"/>
          <w:szCs w:val="22"/>
        </w:rPr>
      </w:pPr>
      <w:r w:rsidRPr="00D11539">
        <w:rPr>
          <w:sz w:val="22"/>
          <w:szCs w:val="22"/>
        </w:rPr>
        <w:t xml:space="preserve">     Σύμφωνα με τις διατάξεις του άρθρου 77  παρ. 3 του </w:t>
      </w:r>
      <w:proofErr w:type="spellStart"/>
      <w:r w:rsidRPr="00D11539">
        <w:rPr>
          <w:rFonts w:eastAsia="Arial"/>
          <w:bCs/>
          <w:iCs/>
          <w:sz w:val="22"/>
          <w:szCs w:val="22"/>
        </w:rPr>
        <w:t>του</w:t>
      </w:r>
      <w:proofErr w:type="spellEnd"/>
      <w:r w:rsidRPr="00D11539">
        <w:rPr>
          <w:rFonts w:eastAsia="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D11539">
        <w:rPr>
          <w:rFonts w:eastAsia="Arial"/>
          <w:bCs/>
          <w:iCs/>
          <w:sz w:val="22"/>
          <w:szCs w:val="22"/>
        </w:rPr>
        <w:t>γι΄</w:t>
      </w:r>
      <w:proofErr w:type="spellEnd"/>
      <w:r w:rsidRPr="00D11539">
        <w:rPr>
          <w:rFonts w:eastAsia="Arial"/>
          <w:bCs/>
          <w:iCs/>
          <w:sz w:val="22"/>
          <w:szCs w:val="22"/>
        </w:rPr>
        <w:t xml:space="preserve"> αυτό με την ίδια πλειοψηφία , πριν από την έναρξη της συζήτησης των θεμάτων της ημερήσιας διάταξης.</w:t>
      </w:r>
    </w:p>
    <w:p w:rsidR="00AA1978" w:rsidRPr="00D11539" w:rsidRDefault="00AA1978" w:rsidP="00AA1978">
      <w:pPr>
        <w:pStyle w:val="af2"/>
        <w:spacing w:line="276" w:lineRule="auto"/>
        <w:ind w:firstLine="0"/>
        <w:rPr>
          <w:sz w:val="22"/>
          <w:szCs w:val="22"/>
        </w:rPr>
      </w:pPr>
      <w:r w:rsidRPr="00D11539">
        <w:rPr>
          <w:rFonts w:eastAsia="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AA1978" w:rsidRPr="00D11539" w:rsidRDefault="00AA1978" w:rsidP="00AA1978">
      <w:pPr>
        <w:pStyle w:val="ad"/>
        <w:spacing w:line="276" w:lineRule="auto"/>
        <w:rPr>
          <w:sz w:val="22"/>
          <w:szCs w:val="22"/>
        </w:rPr>
      </w:pPr>
      <w:r w:rsidRPr="00D11539">
        <w:rPr>
          <w:rFonts w:eastAsia="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B64ED5" w:rsidRPr="00D11539" w:rsidRDefault="00AA1978" w:rsidP="00AA1978">
      <w:pPr>
        <w:pStyle w:val="ad"/>
        <w:spacing w:before="119" w:after="119"/>
        <w:rPr>
          <w:rFonts w:eastAsia="Calibri"/>
          <w:bCs/>
          <w:sz w:val="22"/>
          <w:szCs w:val="22"/>
        </w:rPr>
      </w:pPr>
      <w:r w:rsidRPr="00D11539">
        <w:rPr>
          <w:rFonts w:eastAsia="Arial"/>
          <w:sz w:val="22"/>
          <w:szCs w:val="22"/>
        </w:rPr>
        <w:t xml:space="preserve">  Κατόπιν ο</w:t>
      </w:r>
      <w:r w:rsidRPr="00D11539">
        <w:rPr>
          <w:sz w:val="22"/>
          <w:szCs w:val="22"/>
        </w:rPr>
        <w:t xml:space="preserve">  Πρόεδρος  έθεσε υπόψη των μελών  </w:t>
      </w:r>
      <w:r w:rsidRPr="00D11539">
        <w:rPr>
          <w:rFonts w:eastAsia="Arial"/>
          <w:sz w:val="22"/>
          <w:szCs w:val="22"/>
        </w:rPr>
        <w:t xml:space="preserve">το  </w:t>
      </w:r>
      <w:proofErr w:type="spellStart"/>
      <w:r w:rsidRPr="00D11539">
        <w:rPr>
          <w:rFonts w:eastAsia="Arial"/>
          <w:sz w:val="22"/>
          <w:szCs w:val="22"/>
        </w:rPr>
        <w:t>υπ΄αριθμ</w:t>
      </w:r>
      <w:proofErr w:type="spellEnd"/>
      <w:r w:rsidRPr="00D11539">
        <w:rPr>
          <w:rFonts w:eastAsia="Arial"/>
          <w:sz w:val="22"/>
          <w:szCs w:val="22"/>
        </w:rPr>
        <w:t xml:space="preserve">. </w:t>
      </w:r>
      <w:proofErr w:type="spellStart"/>
      <w:r w:rsidRPr="00D11539">
        <w:rPr>
          <w:rFonts w:eastAsia="Arial"/>
          <w:sz w:val="22"/>
          <w:szCs w:val="22"/>
        </w:rPr>
        <w:t>πρωτ</w:t>
      </w:r>
      <w:proofErr w:type="spellEnd"/>
      <w:r w:rsidRPr="00D11539">
        <w:rPr>
          <w:rFonts w:eastAsia="Arial"/>
          <w:sz w:val="22"/>
          <w:szCs w:val="22"/>
        </w:rPr>
        <w:t xml:space="preserve">. </w:t>
      </w:r>
      <w:r w:rsidR="00D32247" w:rsidRPr="00D11539">
        <w:rPr>
          <w:rFonts w:eastAsia="Arial"/>
          <w:sz w:val="22"/>
          <w:szCs w:val="22"/>
        </w:rPr>
        <w:t xml:space="preserve">. 6843/07-04-2023 </w:t>
      </w:r>
      <w:r w:rsidRPr="00D11539">
        <w:rPr>
          <w:rFonts w:eastAsia="Verdana"/>
          <w:color w:val="000000"/>
          <w:sz w:val="22"/>
          <w:szCs w:val="22"/>
        </w:rPr>
        <w:t xml:space="preserve">έγγραφο  </w:t>
      </w:r>
      <w:r w:rsidR="00846B9C" w:rsidRPr="00D11539">
        <w:rPr>
          <w:rFonts w:eastAsia="Arial"/>
          <w:sz w:val="22"/>
          <w:szCs w:val="22"/>
        </w:rPr>
        <w:t xml:space="preserve">του Τμ. Προϋπολογισμού ,Λογιστηρίου &amp; Προμηθειών </w:t>
      </w:r>
      <w:r w:rsidR="00846B9C" w:rsidRPr="00D11539">
        <w:rPr>
          <w:rFonts w:eastAsia="Verdana"/>
          <w:color w:val="000000"/>
          <w:sz w:val="22"/>
          <w:szCs w:val="22"/>
        </w:rPr>
        <w:t xml:space="preserve"> τ</w:t>
      </w:r>
      <w:r w:rsidR="00846B9C" w:rsidRPr="00D11539">
        <w:rPr>
          <w:sz w:val="22"/>
          <w:szCs w:val="22"/>
        </w:rPr>
        <w:t xml:space="preserve">ου Δήμου </w:t>
      </w:r>
      <w:proofErr w:type="spellStart"/>
      <w:r w:rsidR="00846B9C" w:rsidRPr="00D11539">
        <w:rPr>
          <w:sz w:val="22"/>
          <w:szCs w:val="22"/>
        </w:rPr>
        <w:t>Λεβαδέων</w:t>
      </w:r>
      <w:proofErr w:type="spellEnd"/>
      <w:r w:rsidR="00846B9C" w:rsidRPr="00D11539">
        <w:rPr>
          <w:sz w:val="22"/>
          <w:szCs w:val="22"/>
        </w:rPr>
        <w:t xml:space="preserve">   </w:t>
      </w:r>
      <w:r w:rsidRPr="00D11539">
        <w:rPr>
          <w:rFonts w:eastAsia="Verdana"/>
          <w:color w:val="000000"/>
          <w:sz w:val="22"/>
          <w:szCs w:val="22"/>
        </w:rPr>
        <w:t>με το οποίο εισηγούνται ως κατωτέρω:</w:t>
      </w:r>
      <w:r w:rsidR="00282A18" w:rsidRPr="00D11539">
        <w:rPr>
          <w:rFonts w:eastAsia="Calibri"/>
          <w:bCs/>
          <w:sz w:val="22"/>
          <w:szCs w:val="22"/>
        </w:rPr>
        <w:tab/>
      </w:r>
    </w:p>
    <w:p w:rsidR="00D32247" w:rsidRPr="00D11539" w:rsidRDefault="00D32247" w:rsidP="00D32247">
      <w:pPr>
        <w:pStyle w:val="Web"/>
        <w:spacing w:before="0" w:after="0" w:line="360" w:lineRule="auto"/>
        <w:ind w:firstLineChars="350" w:firstLine="770"/>
        <w:jc w:val="both"/>
        <w:rPr>
          <w:b/>
          <w:i/>
          <w:sz w:val="22"/>
          <w:szCs w:val="22"/>
        </w:rPr>
      </w:pPr>
      <w:r w:rsidRPr="00D11539">
        <w:rPr>
          <w:i/>
          <w:sz w:val="22"/>
          <w:szCs w:val="22"/>
        </w:rPr>
        <w:lastRenderedPageBreak/>
        <w:t>Με την υπ’ αριθ.</w:t>
      </w:r>
      <w:r w:rsidRPr="00D11539">
        <w:rPr>
          <w:b/>
          <w:i/>
          <w:sz w:val="22"/>
          <w:szCs w:val="22"/>
        </w:rPr>
        <w:t xml:space="preserve"> 5/2022 </w:t>
      </w:r>
      <w:r w:rsidRPr="00D11539">
        <w:rPr>
          <w:i/>
          <w:sz w:val="22"/>
          <w:szCs w:val="22"/>
        </w:rPr>
        <w:t xml:space="preserve"> Απόφαση της Οικονομικής Επιτροπής του Δήμου </w:t>
      </w:r>
      <w:proofErr w:type="spellStart"/>
      <w:r w:rsidRPr="00D11539">
        <w:rPr>
          <w:i/>
          <w:sz w:val="22"/>
          <w:szCs w:val="22"/>
        </w:rPr>
        <w:t>Λεβαδέων</w:t>
      </w:r>
      <w:proofErr w:type="spellEnd"/>
      <w:r w:rsidRPr="00D11539">
        <w:rPr>
          <w:i/>
          <w:sz w:val="22"/>
          <w:szCs w:val="22"/>
        </w:rPr>
        <w:t>, αποφασίστηκε η   έγκριση των τεχνικών προδιαγραφών της υπ’ αρ</w:t>
      </w:r>
      <w:r w:rsidRPr="00D11539">
        <w:rPr>
          <w:b/>
          <w:i/>
          <w:color w:val="000000"/>
          <w:sz w:val="22"/>
          <w:szCs w:val="22"/>
        </w:rPr>
        <w:t>. 01</w:t>
      </w:r>
      <w:r w:rsidRPr="00D11539">
        <w:rPr>
          <w:b/>
          <w:bCs/>
          <w:i/>
          <w:color w:val="000000"/>
          <w:sz w:val="22"/>
          <w:szCs w:val="22"/>
        </w:rPr>
        <w:t>/2022</w:t>
      </w:r>
      <w:r w:rsidRPr="00D11539">
        <w:rPr>
          <w:b/>
          <w:bCs/>
          <w:i/>
          <w:color w:val="666666"/>
          <w:sz w:val="22"/>
          <w:szCs w:val="22"/>
        </w:rPr>
        <w:t xml:space="preserve"> </w:t>
      </w:r>
      <w:r w:rsidRPr="00D11539">
        <w:rPr>
          <w:b/>
          <w:bCs/>
          <w:i/>
          <w:sz w:val="22"/>
          <w:szCs w:val="22"/>
        </w:rPr>
        <w:t>μελέτης</w:t>
      </w:r>
      <w:r w:rsidRPr="00D11539">
        <w:rPr>
          <w:i/>
          <w:sz w:val="22"/>
          <w:szCs w:val="22"/>
        </w:rPr>
        <w:t xml:space="preserve"> της Δ/</w:t>
      </w:r>
      <w:proofErr w:type="spellStart"/>
      <w:r w:rsidRPr="00D11539">
        <w:rPr>
          <w:i/>
          <w:sz w:val="22"/>
          <w:szCs w:val="22"/>
        </w:rPr>
        <w:t>νσης</w:t>
      </w:r>
      <w:proofErr w:type="spellEnd"/>
      <w:r w:rsidRPr="00D11539">
        <w:rPr>
          <w:i/>
          <w:sz w:val="22"/>
          <w:szCs w:val="22"/>
        </w:rPr>
        <w:t xml:space="preserve"> Περιβάλλοντος , Καθαριότητας &amp; Πρασίνου που φέρει τον τίτλο </w:t>
      </w:r>
      <w:r w:rsidRPr="00D11539">
        <w:rPr>
          <w:bCs/>
          <w:i/>
          <w:sz w:val="22"/>
          <w:szCs w:val="22"/>
        </w:rPr>
        <w:t>«</w:t>
      </w:r>
      <w:r w:rsidRPr="00D11539">
        <w:rPr>
          <w:b/>
          <w:i/>
          <w:sz w:val="22"/>
          <w:szCs w:val="22"/>
        </w:rPr>
        <w:t xml:space="preserve">ΕΝΙΣΧΥΣΗ ΤΗΣ ΜΙΚΡΟΚΙΝΗΤΙΚΟΤΗΤΑΣ ΣΤΟ ΔΗΜΟ ΛΕΒΑΔΕΩΝ» </w:t>
      </w:r>
      <w:r w:rsidRPr="00D11539">
        <w:rPr>
          <w:bCs/>
          <w:i/>
          <w:sz w:val="22"/>
          <w:szCs w:val="22"/>
        </w:rPr>
        <w:t>του</w:t>
      </w:r>
      <w:r w:rsidRPr="00D11539">
        <w:rPr>
          <w:b/>
          <w:i/>
          <w:sz w:val="22"/>
          <w:szCs w:val="22"/>
        </w:rPr>
        <w:t xml:space="preserve"> </w:t>
      </w:r>
      <w:r w:rsidRPr="00D11539">
        <w:rPr>
          <w:i/>
          <w:sz w:val="22"/>
          <w:szCs w:val="22"/>
        </w:rPr>
        <w:t xml:space="preserve">υποέργου «Ενίσχυση της </w:t>
      </w:r>
      <w:proofErr w:type="spellStart"/>
      <w:r w:rsidRPr="00D11539">
        <w:rPr>
          <w:i/>
          <w:sz w:val="22"/>
          <w:szCs w:val="22"/>
        </w:rPr>
        <w:t>Μικροκινητικότητας</w:t>
      </w:r>
      <w:proofErr w:type="spellEnd"/>
      <w:r w:rsidRPr="00D11539">
        <w:rPr>
          <w:i/>
          <w:sz w:val="22"/>
          <w:szCs w:val="22"/>
        </w:rPr>
        <w:t xml:space="preserve"> του Δήμου </w:t>
      </w:r>
      <w:proofErr w:type="spellStart"/>
      <w:r w:rsidRPr="00D11539">
        <w:rPr>
          <w:i/>
          <w:sz w:val="22"/>
          <w:szCs w:val="22"/>
        </w:rPr>
        <w:t>Λεβαδέων</w:t>
      </w:r>
      <w:proofErr w:type="spellEnd"/>
      <w:r w:rsidRPr="00D11539">
        <w:rPr>
          <w:i/>
          <w:sz w:val="22"/>
          <w:szCs w:val="22"/>
        </w:rPr>
        <w:t xml:space="preserve">» Α/Α 121 της Πράξης «Βιώσιμη </w:t>
      </w:r>
      <w:proofErr w:type="spellStart"/>
      <w:r w:rsidRPr="00D11539">
        <w:rPr>
          <w:i/>
          <w:sz w:val="22"/>
          <w:szCs w:val="22"/>
        </w:rPr>
        <w:t>μικροκινητικότητα</w:t>
      </w:r>
      <w:proofErr w:type="spellEnd"/>
      <w:r w:rsidRPr="00D11539">
        <w:rPr>
          <w:i/>
          <w:sz w:val="22"/>
          <w:szCs w:val="22"/>
        </w:rPr>
        <w:t xml:space="preserve"> μέσω συστήματος κοινόχρηστων ποδηλάτων σε Δήμους της Χώρας (εκτός Δήμων Μητροπολιτικών Κέντρων)» με κωδικό ΟΠΣ «5163963»  </w:t>
      </w:r>
      <w:r w:rsidRPr="00D11539">
        <w:rPr>
          <w:bCs/>
          <w:i/>
          <w:sz w:val="22"/>
          <w:szCs w:val="22"/>
        </w:rPr>
        <w:t xml:space="preserve">, </w:t>
      </w:r>
      <w:r w:rsidRPr="00D11539">
        <w:rPr>
          <w:rFonts w:eastAsia="Cambria"/>
          <w:i/>
          <w:sz w:val="22"/>
          <w:szCs w:val="22"/>
        </w:rPr>
        <w:t>ενδεικτικού προϋπολογισμού</w:t>
      </w:r>
      <w:r w:rsidRPr="00D11539">
        <w:rPr>
          <w:rFonts w:eastAsia="Cambria"/>
          <w:i/>
          <w:color w:val="666666"/>
          <w:sz w:val="22"/>
          <w:szCs w:val="22"/>
        </w:rPr>
        <w:t xml:space="preserve"> </w:t>
      </w:r>
      <w:r w:rsidRPr="00D11539">
        <w:rPr>
          <w:rFonts w:eastAsia="Cambria"/>
          <w:b/>
          <w:bCs/>
          <w:i/>
          <w:sz w:val="22"/>
          <w:szCs w:val="22"/>
        </w:rPr>
        <w:t>200.000,00 €</w:t>
      </w:r>
      <w:r w:rsidRPr="00D11539">
        <w:rPr>
          <w:rFonts w:eastAsia="Cambria"/>
          <w:i/>
          <w:sz w:val="22"/>
          <w:szCs w:val="22"/>
          <w:lang w:eastAsia="el-GR"/>
        </w:rPr>
        <w:t>,</w:t>
      </w:r>
      <w:r w:rsidRPr="00D11539">
        <w:rPr>
          <w:i/>
          <w:sz w:val="22"/>
          <w:szCs w:val="22"/>
        </w:rPr>
        <w:t xml:space="preserve"> </w:t>
      </w:r>
      <w:r w:rsidRPr="00D11539">
        <w:rPr>
          <w:rFonts w:eastAsia="Cambria"/>
          <w:b/>
          <w:i/>
          <w:sz w:val="22"/>
          <w:szCs w:val="22"/>
        </w:rPr>
        <w:t xml:space="preserve"> </w:t>
      </w:r>
      <w:r w:rsidRPr="00D11539">
        <w:rPr>
          <w:rFonts w:eastAsia="Cambria"/>
          <w:i/>
          <w:sz w:val="22"/>
          <w:szCs w:val="22"/>
        </w:rPr>
        <w:t>χωρίς Φ.Π.Α</w:t>
      </w:r>
      <w:r w:rsidRPr="00D11539">
        <w:rPr>
          <w:i/>
          <w:sz w:val="22"/>
          <w:szCs w:val="22"/>
        </w:rPr>
        <w:t xml:space="preserve">. </w:t>
      </w:r>
      <w:r w:rsidRPr="00D11539">
        <w:rPr>
          <w:b/>
          <w:bCs/>
          <w:i/>
          <w:sz w:val="22"/>
          <w:szCs w:val="22"/>
        </w:rPr>
        <w:t xml:space="preserve">(248.000,00 </w:t>
      </w:r>
      <w:r w:rsidRPr="00D11539">
        <w:rPr>
          <w:b/>
          <w:i/>
          <w:sz w:val="22"/>
          <w:szCs w:val="22"/>
        </w:rPr>
        <w:t>€ με Φ.Π.Α. 24%)</w:t>
      </w:r>
      <w:r w:rsidRPr="00D11539">
        <w:rPr>
          <w:i/>
          <w:sz w:val="22"/>
          <w:szCs w:val="22"/>
        </w:rPr>
        <w:t xml:space="preserve"> καθώς και ο τρόπος εκτέλεσης της προμήθειας με </w:t>
      </w:r>
      <w:r w:rsidRPr="00D11539">
        <w:rPr>
          <w:bCs/>
          <w:i/>
          <w:sz w:val="22"/>
          <w:szCs w:val="22"/>
        </w:rPr>
        <w:t>ηλεκτρονικό ανοικτό διαγωνισμό άνω των ορίων</w:t>
      </w:r>
      <w:r w:rsidRPr="00D11539">
        <w:rPr>
          <w:b/>
          <w:i/>
          <w:sz w:val="22"/>
          <w:szCs w:val="22"/>
        </w:rPr>
        <w:t>.</w:t>
      </w:r>
    </w:p>
    <w:p w:rsidR="00D32247" w:rsidRPr="00D11539" w:rsidRDefault="00D32247" w:rsidP="00D32247">
      <w:pPr>
        <w:pStyle w:val="normalwithoutspacing"/>
        <w:spacing w:line="360" w:lineRule="auto"/>
        <w:rPr>
          <w:rFonts w:ascii="Times New Roman" w:hAnsi="Times New Roman" w:cs="Times New Roman"/>
          <w:i/>
          <w:szCs w:val="22"/>
        </w:rPr>
      </w:pPr>
      <w:r w:rsidRPr="00D11539">
        <w:rPr>
          <w:rFonts w:ascii="Times New Roman" w:hAnsi="Times New Roman" w:cs="Times New Roman"/>
          <w:i/>
          <w:szCs w:val="22"/>
        </w:rPr>
        <w:t xml:space="preserve">Με το υπ’ αρ. </w:t>
      </w:r>
      <w:r w:rsidRPr="00D11539">
        <w:rPr>
          <w:rFonts w:ascii="Times New Roman" w:hAnsi="Times New Roman" w:cs="Times New Roman"/>
          <w:b/>
          <w:bCs/>
          <w:i/>
          <w:szCs w:val="22"/>
        </w:rPr>
        <w:t>6829/7-4-2023</w:t>
      </w:r>
      <w:r w:rsidRPr="00D11539">
        <w:rPr>
          <w:rFonts w:ascii="Times New Roman" w:eastAsia="Cambria" w:hAnsi="Times New Roman" w:cs="Times New Roman"/>
          <w:b/>
          <w:i/>
          <w:color w:val="FF0000"/>
          <w:szCs w:val="22"/>
        </w:rPr>
        <w:t xml:space="preserve"> </w:t>
      </w:r>
      <w:r w:rsidRPr="00D11539">
        <w:rPr>
          <w:rFonts w:ascii="Times New Roman" w:eastAsia="Cambria" w:hAnsi="Times New Roman" w:cs="Times New Roman"/>
          <w:i/>
          <w:szCs w:val="22"/>
        </w:rPr>
        <w:t xml:space="preserve">Πρωτογενές Αίτημα </w:t>
      </w:r>
      <w:r w:rsidRPr="00D11539">
        <w:rPr>
          <w:rFonts w:ascii="Times New Roman" w:hAnsi="Times New Roman" w:cs="Times New Roman"/>
          <w:i/>
          <w:szCs w:val="22"/>
        </w:rPr>
        <w:t>η Δ/</w:t>
      </w:r>
      <w:proofErr w:type="spellStart"/>
      <w:r w:rsidRPr="00D11539">
        <w:rPr>
          <w:rFonts w:ascii="Times New Roman" w:hAnsi="Times New Roman" w:cs="Times New Roman"/>
          <w:i/>
          <w:szCs w:val="22"/>
        </w:rPr>
        <w:t>νση</w:t>
      </w:r>
      <w:proofErr w:type="spellEnd"/>
      <w:r w:rsidRPr="00D11539">
        <w:rPr>
          <w:rFonts w:ascii="Times New Roman" w:hAnsi="Times New Roman" w:cs="Times New Roman"/>
          <w:i/>
          <w:szCs w:val="22"/>
        </w:rPr>
        <w:t xml:space="preserve"> Περιβάλλοντος , Καθαριότητας και Πρασίνου </w:t>
      </w:r>
      <w:r w:rsidRPr="00D11539">
        <w:rPr>
          <w:rFonts w:ascii="Times New Roman" w:hAnsi="Times New Roman" w:cs="Times New Roman"/>
          <w:bCs/>
          <w:i/>
          <w:szCs w:val="22"/>
        </w:rPr>
        <w:t xml:space="preserve">μας ενημερώνει ότι η δαπάνη για την </w:t>
      </w:r>
      <w:r w:rsidRPr="00D11539">
        <w:rPr>
          <w:rFonts w:ascii="Times New Roman" w:hAnsi="Times New Roman" w:cs="Times New Roman"/>
          <w:i/>
          <w:szCs w:val="22"/>
        </w:rPr>
        <w:t xml:space="preserve"> προμήθεια , εγκατάσταση , παραμετροποίηση και λειτουργία ενός ολοκληρωμένου συστήματος μίσθωσης ηλεκτρικών ποδηλάτων για το Δήμο </w:t>
      </w:r>
      <w:proofErr w:type="spellStart"/>
      <w:r w:rsidRPr="00D11539">
        <w:rPr>
          <w:rFonts w:ascii="Times New Roman" w:hAnsi="Times New Roman" w:cs="Times New Roman"/>
          <w:i/>
          <w:szCs w:val="22"/>
        </w:rPr>
        <w:t>Λεβαδέων</w:t>
      </w:r>
      <w:proofErr w:type="spellEnd"/>
      <w:r w:rsidRPr="00D11539">
        <w:rPr>
          <w:rFonts w:ascii="Times New Roman" w:hAnsi="Times New Roman" w:cs="Times New Roman"/>
          <w:i/>
          <w:szCs w:val="22"/>
        </w:rPr>
        <w:t xml:space="preserve"> για την ενίσχυση της </w:t>
      </w:r>
      <w:proofErr w:type="spellStart"/>
      <w:r w:rsidRPr="00D11539">
        <w:rPr>
          <w:rFonts w:ascii="Times New Roman" w:hAnsi="Times New Roman" w:cs="Times New Roman"/>
          <w:i/>
          <w:szCs w:val="22"/>
        </w:rPr>
        <w:t>μικροκινητικότητας</w:t>
      </w:r>
      <w:proofErr w:type="spellEnd"/>
      <w:r w:rsidRPr="00D11539">
        <w:rPr>
          <w:rFonts w:ascii="Times New Roman" w:hAnsi="Times New Roman" w:cs="Times New Roman"/>
          <w:i/>
          <w:szCs w:val="22"/>
        </w:rPr>
        <w:t xml:space="preserve"> , </w:t>
      </w:r>
      <w:r w:rsidRPr="00D11539">
        <w:rPr>
          <w:rFonts w:ascii="Times New Roman" w:hAnsi="Times New Roman" w:cs="Times New Roman"/>
          <w:bCs/>
          <w:i/>
          <w:szCs w:val="22"/>
        </w:rPr>
        <w:t>κρίνεται απαραίτητη και το συνολικό ποσό ανέρχεται στα 248.000,00</w:t>
      </w:r>
      <w:r w:rsidRPr="00D11539">
        <w:rPr>
          <w:rFonts w:ascii="Times New Roman" w:hAnsi="Times New Roman" w:cs="Times New Roman"/>
          <w:i/>
          <w:szCs w:val="22"/>
        </w:rPr>
        <w:t xml:space="preserve"> € </w:t>
      </w:r>
      <w:r w:rsidRPr="00D11539">
        <w:rPr>
          <w:rFonts w:ascii="Times New Roman" w:hAnsi="Times New Roman" w:cs="Times New Roman"/>
          <w:bCs/>
          <w:i/>
          <w:szCs w:val="22"/>
        </w:rPr>
        <w:t xml:space="preserve">με Φ.Π.Α. 24% για το έτος 2023. </w:t>
      </w:r>
    </w:p>
    <w:p w:rsidR="00D32247" w:rsidRPr="00D11539" w:rsidRDefault="00D32247" w:rsidP="00D32247">
      <w:pPr>
        <w:pStyle w:val="af2"/>
        <w:spacing w:line="360" w:lineRule="auto"/>
        <w:ind w:firstLine="720"/>
        <w:rPr>
          <w:i/>
          <w:sz w:val="22"/>
          <w:szCs w:val="22"/>
        </w:rPr>
      </w:pPr>
      <w:r w:rsidRPr="00D11539">
        <w:rPr>
          <w:bCs/>
          <w:i/>
          <w:sz w:val="22"/>
          <w:szCs w:val="22"/>
        </w:rPr>
        <w:t xml:space="preserve">Με το </w:t>
      </w:r>
      <w:r w:rsidRPr="00D11539">
        <w:rPr>
          <w:i/>
          <w:sz w:val="22"/>
          <w:szCs w:val="22"/>
        </w:rPr>
        <w:t xml:space="preserve">υπ’ αρ. </w:t>
      </w:r>
      <w:r w:rsidRPr="00D11539">
        <w:rPr>
          <w:b/>
          <w:bCs/>
          <w:i/>
          <w:sz w:val="22"/>
          <w:szCs w:val="22"/>
        </w:rPr>
        <w:t xml:space="preserve"> 6830</w:t>
      </w:r>
      <w:r w:rsidRPr="00D11539">
        <w:rPr>
          <w:rFonts w:eastAsia="Cambria"/>
          <w:b/>
          <w:bCs/>
          <w:i/>
          <w:sz w:val="22"/>
          <w:szCs w:val="22"/>
        </w:rPr>
        <w:t>/7</w:t>
      </w:r>
      <w:r w:rsidRPr="00D11539">
        <w:rPr>
          <w:rFonts w:eastAsia="Cambria"/>
          <w:b/>
          <w:i/>
          <w:sz w:val="22"/>
          <w:szCs w:val="22"/>
        </w:rPr>
        <w:t>-4-2023</w:t>
      </w:r>
      <w:r w:rsidRPr="00D11539">
        <w:rPr>
          <w:rFonts w:eastAsia="Cambria"/>
          <w:b/>
          <w:i/>
          <w:color w:val="FF0000"/>
          <w:sz w:val="22"/>
          <w:szCs w:val="22"/>
        </w:rPr>
        <w:t xml:space="preserve"> </w:t>
      </w:r>
      <w:r w:rsidRPr="00D11539">
        <w:rPr>
          <w:i/>
          <w:sz w:val="22"/>
          <w:szCs w:val="22"/>
        </w:rPr>
        <w:t>τεκμηριωμένο αίτημα της, η Διεύθυνση Περιβάλλοντος , Καθαριότητας και Πρασίνου</w:t>
      </w:r>
      <w:r w:rsidRPr="00D11539">
        <w:rPr>
          <w:bCs/>
          <w:i/>
          <w:sz w:val="22"/>
          <w:szCs w:val="22"/>
        </w:rPr>
        <w:t xml:space="preserve"> </w:t>
      </w:r>
      <w:r w:rsidRPr="00D11539">
        <w:rPr>
          <w:i/>
          <w:sz w:val="22"/>
          <w:szCs w:val="22"/>
        </w:rPr>
        <w:t>αιτείται την  ανάληψη υποχρέωσης ύψους</w:t>
      </w:r>
      <w:r w:rsidRPr="00D11539">
        <w:rPr>
          <w:b/>
          <w:bCs/>
          <w:i/>
          <w:sz w:val="22"/>
          <w:szCs w:val="22"/>
        </w:rPr>
        <w:t xml:space="preserve"> 248.000,00</w:t>
      </w:r>
      <w:r w:rsidRPr="00D11539">
        <w:rPr>
          <w:b/>
          <w:i/>
          <w:sz w:val="22"/>
          <w:szCs w:val="22"/>
        </w:rPr>
        <w:t xml:space="preserve"> </w:t>
      </w:r>
      <w:r w:rsidRPr="00D11539">
        <w:rPr>
          <w:i/>
          <w:sz w:val="22"/>
          <w:szCs w:val="22"/>
        </w:rPr>
        <w:t xml:space="preserve">€ για το έτος 2023 για : </w:t>
      </w:r>
      <w:r w:rsidRPr="00D11539">
        <w:rPr>
          <w:b/>
          <w:bCs/>
          <w:i/>
          <w:sz w:val="22"/>
          <w:szCs w:val="22"/>
        </w:rPr>
        <w:t xml:space="preserve">«Ενίσχυση της </w:t>
      </w:r>
      <w:proofErr w:type="spellStart"/>
      <w:r w:rsidRPr="00D11539">
        <w:rPr>
          <w:b/>
          <w:bCs/>
          <w:i/>
          <w:sz w:val="22"/>
          <w:szCs w:val="22"/>
        </w:rPr>
        <w:t>μικροκινητικότητας</w:t>
      </w:r>
      <w:proofErr w:type="spellEnd"/>
      <w:r w:rsidRPr="00D11539">
        <w:rPr>
          <w:b/>
          <w:bCs/>
          <w:i/>
          <w:sz w:val="22"/>
          <w:szCs w:val="22"/>
        </w:rPr>
        <w:t xml:space="preserve"> στο Δήμο </w:t>
      </w:r>
      <w:proofErr w:type="spellStart"/>
      <w:r w:rsidRPr="00D11539">
        <w:rPr>
          <w:b/>
          <w:bCs/>
          <w:i/>
          <w:sz w:val="22"/>
          <w:szCs w:val="22"/>
        </w:rPr>
        <w:t>Λεβαδέων</w:t>
      </w:r>
      <w:proofErr w:type="spellEnd"/>
      <w:r w:rsidRPr="00D11539">
        <w:rPr>
          <w:b/>
          <w:i/>
          <w:sz w:val="22"/>
          <w:szCs w:val="22"/>
        </w:rPr>
        <w:t>»</w:t>
      </w:r>
      <w:r w:rsidRPr="00D11539">
        <w:rPr>
          <w:i/>
          <w:sz w:val="22"/>
          <w:szCs w:val="22"/>
        </w:rPr>
        <w:t xml:space="preserve"> </w:t>
      </w:r>
      <w:r w:rsidRPr="00D11539">
        <w:rPr>
          <w:rStyle w:val="apple-style-span"/>
          <w:rFonts w:eastAsia="Cambria"/>
          <w:i/>
          <w:color w:val="000000"/>
          <w:sz w:val="22"/>
          <w:szCs w:val="22"/>
        </w:rPr>
        <w:t xml:space="preserve">και εκδόθηκε η  υπ’ </w:t>
      </w:r>
      <w:proofErr w:type="spellStart"/>
      <w:r w:rsidRPr="00D11539">
        <w:rPr>
          <w:rStyle w:val="apple-style-span"/>
          <w:rFonts w:eastAsia="Cambria"/>
          <w:i/>
          <w:color w:val="000000"/>
          <w:sz w:val="22"/>
          <w:szCs w:val="22"/>
        </w:rPr>
        <w:t>αριθμ</w:t>
      </w:r>
      <w:proofErr w:type="spellEnd"/>
      <w:r w:rsidRPr="00D11539">
        <w:rPr>
          <w:rStyle w:val="apple-style-span"/>
          <w:rFonts w:eastAsia="Cambria"/>
          <w:i/>
          <w:color w:val="000000"/>
          <w:sz w:val="22"/>
          <w:szCs w:val="22"/>
        </w:rPr>
        <w:t xml:space="preserve">.  </w:t>
      </w:r>
      <w:r w:rsidRPr="00D11539">
        <w:rPr>
          <w:rStyle w:val="apple-style-span"/>
          <w:rFonts w:eastAsia="Cambria"/>
          <w:b/>
          <w:bCs/>
          <w:i/>
          <w:color w:val="000000"/>
          <w:sz w:val="22"/>
          <w:szCs w:val="22"/>
        </w:rPr>
        <w:t>512</w:t>
      </w:r>
      <w:r w:rsidRPr="00D11539">
        <w:rPr>
          <w:rStyle w:val="apple-style-span"/>
          <w:rFonts w:eastAsia="Cambria"/>
          <w:b/>
          <w:i/>
          <w:sz w:val="22"/>
          <w:szCs w:val="22"/>
        </w:rPr>
        <w:t xml:space="preserve">/2023 (αριθ. </w:t>
      </w:r>
      <w:proofErr w:type="spellStart"/>
      <w:r w:rsidRPr="00D11539">
        <w:rPr>
          <w:rStyle w:val="apple-style-span"/>
          <w:rFonts w:eastAsia="Cambria"/>
          <w:b/>
          <w:i/>
          <w:sz w:val="22"/>
          <w:szCs w:val="22"/>
        </w:rPr>
        <w:t>πρωτ</w:t>
      </w:r>
      <w:proofErr w:type="spellEnd"/>
      <w:r w:rsidRPr="00D11539">
        <w:rPr>
          <w:rStyle w:val="apple-style-span"/>
          <w:rFonts w:eastAsia="Cambria"/>
          <w:b/>
          <w:i/>
          <w:sz w:val="22"/>
          <w:szCs w:val="22"/>
        </w:rPr>
        <w:t>.: 6831/7-4-2023)</w:t>
      </w:r>
      <w:r w:rsidRPr="00D11539">
        <w:rPr>
          <w:rStyle w:val="apple-style-span"/>
          <w:rFonts w:eastAsia="Cambria"/>
          <w:i/>
          <w:color w:val="000000"/>
          <w:sz w:val="22"/>
          <w:szCs w:val="22"/>
        </w:rPr>
        <w:t xml:space="preserve"> Απόφαση Ανάληψης Υποχρέωσης της σχετικής προμήθειας. </w:t>
      </w:r>
    </w:p>
    <w:p w:rsidR="00D32247" w:rsidRPr="00D11539" w:rsidRDefault="00D32247" w:rsidP="00D32247">
      <w:pPr>
        <w:widowControl w:val="0"/>
        <w:ind w:right="-7"/>
        <w:jc w:val="center"/>
        <w:rPr>
          <w:b/>
          <w:i/>
          <w:sz w:val="22"/>
          <w:szCs w:val="22"/>
        </w:rPr>
      </w:pPr>
      <w:r w:rsidRPr="00D11539">
        <w:rPr>
          <w:b/>
          <w:i/>
          <w:sz w:val="22"/>
          <w:szCs w:val="22"/>
        </w:rPr>
        <w:t>Κατόπιν των ανωτέρω και αφού λάβετε υπόψη σας</w:t>
      </w:r>
    </w:p>
    <w:p w:rsidR="00D32247" w:rsidRPr="00D11539" w:rsidRDefault="00D32247" w:rsidP="00D32247">
      <w:pPr>
        <w:widowControl w:val="0"/>
        <w:ind w:right="-7"/>
        <w:jc w:val="center"/>
        <w:rPr>
          <w:b/>
          <w:i/>
          <w:sz w:val="22"/>
          <w:szCs w:val="22"/>
        </w:rPr>
      </w:pPr>
    </w:p>
    <w:p w:rsidR="00D32247" w:rsidRPr="00D11539" w:rsidRDefault="00D32247" w:rsidP="00D32247">
      <w:pPr>
        <w:numPr>
          <w:ilvl w:val="0"/>
          <w:numId w:val="22"/>
        </w:numPr>
        <w:spacing w:line="360" w:lineRule="auto"/>
        <w:ind w:left="0" w:firstLine="0"/>
        <w:jc w:val="both"/>
        <w:rPr>
          <w:i/>
          <w:sz w:val="22"/>
          <w:szCs w:val="22"/>
        </w:rPr>
      </w:pPr>
      <w:r w:rsidRPr="00D11539">
        <w:rPr>
          <w:i/>
          <w:sz w:val="22"/>
          <w:szCs w:val="22"/>
        </w:rPr>
        <w:t xml:space="preserve">τις διατάξεις της παρ. θ του άρθρου </w:t>
      </w:r>
      <w:r w:rsidRPr="00D11539">
        <w:rPr>
          <w:b/>
          <w:i/>
          <w:sz w:val="22"/>
          <w:szCs w:val="22"/>
        </w:rPr>
        <w:t>72 του Ν.3852/2010</w:t>
      </w:r>
      <w:r w:rsidRPr="00D11539">
        <w:rPr>
          <w:i/>
          <w:sz w:val="22"/>
          <w:szCs w:val="22"/>
        </w:rPr>
        <w:t xml:space="preserve"> όπως αυτή αντικαταστάθηκε  με τις διατάξεις του άρθρου 40 παρ. του Ν. 4735/2020 (ΦΕΚ Α 197/12.10.2020) «Αρμοδιότητες Οικονομικής Επιτροπής ΟΤΑ </w:t>
      </w:r>
      <w:proofErr w:type="spellStart"/>
      <w:r w:rsidRPr="00D11539">
        <w:rPr>
          <w:i/>
          <w:sz w:val="22"/>
          <w:szCs w:val="22"/>
        </w:rPr>
        <w:t>α΄</w:t>
      </w:r>
      <w:proofErr w:type="spellEnd"/>
      <w:r w:rsidRPr="00D11539">
        <w:rPr>
          <w:i/>
          <w:sz w:val="22"/>
          <w:szCs w:val="22"/>
        </w:rPr>
        <w:t xml:space="preserve"> και </w:t>
      </w:r>
      <w:proofErr w:type="spellStart"/>
      <w:r w:rsidRPr="00D11539">
        <w:rPr>
          <w:i/>
          <w:sz w:val="22"/>
          <w:szCs w:val="22"/>
        </w:rPr>
        <w:t>β΄</w:t>
      </w:r>
      <w:proofErr w:type="spellEnd"/>
      <w:r w:rsidRPr="00D11539">
        <w:rPr>
          <w:i/>
          <w:sz w:val="22"/>
          <w:szCs w:val="22"/>
        </w:rPr>
        <w:t xml:space="preserve"> βαθμού και Επιτροπής Ποιότητας Ζωής ΟΤΑ </w:t>
      </w:r>
      <w:proofErr w:type="spellStart"/>
      <w:r w:rsidRPr="00D11539">
        <w:rPr>
          <w:i/>
          <w:sz w:val="22"/>
          <w:szCs w:val="22"/>
        </w:rPr>
        <w:t>α΄</w:t>
      </w:r>
      <w:proofErr w:type="spellEnd"/>
      <w:r w:rsidRPr="00D11539">
        <w:rPr>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D32247" w:rsidRPr="00D11539" w:rsidRDefault="00D32247" w:rsidP="00D32247">
      <w:pPr>
        <w:numPr>
          <w:ilvl w:val="0"/>
          <w:numId w:val="22"/>
        </w:numPr>
        <w:spacing w:line="360" w:lineRule="auto"/>
        <w:ind w:left="0" w:firstLine="0"/>
        <w:jc w:val="both"/>
        <w:rPr>
          <w:i/>
          <w:sz w:val="22"/>
          <w:szCs w:val="22"/>
        </w:rPr>
      </w:pPr>
      <w:r w:rsidRPr="00D11539">
        <w:rPr>
          <w:i/>
          <w:sz w:val="22"/>
          <w:szCs w:val="22"/>
        </w:rPr>
        <w:t xml:space="preserve">το </w:t>
      </w:r>
      <w:r w:rsidRPr="00D11539">
        <w:rPr>
          <w:b/>
          <w:i/>
          <w:sz w:val="22"/>
          <w:szCs w:val="22"/>
        </w:rPr>
        <w:t xml:space="preserve">άρθρο 54 </w:t>
      </w:r>
      <w:r w:rsidRPr="00D11539">
        <w:rPr>
          <w:i/>
          <w:sz w:val="22"/>
          <w:szCs w:val="22"/>
        </w:rPr>
        <w:t>παρ</w:t>
      </w:r>
      <w:r w:rsidRPr="00D11539">
        <w:rPr>
          <w:b/>
          <w:i/>
          <w:sz w:val="22"/>
          <w:szCs w:val="22"/>
        </w:rPr>
        <w:t>. 7 του Ν.4412/2016</w:t>
      </w:r>
      <w:r w:rsidRPr="00D11539">
        <w:rPr>
          <w:i/>
          <w:sz w:val="22"/>
          <w:szCs w:val="22"/>
        </w:rPr>
        <w:t>: «Οι τεχνικές προδιαγραφές καθορίζονται και εγκρίνονται πριν  την έναρξη της διαδικασίας σύναψης της σύμβασης κατά το άρθρο 61.»</w:t>
      </w:r>
    </w:p>
    <w:p w:rsidR="00D32247" w:rsidRPr="00D11539" w:rsidRDefault="00D32247" w:rsidP="00D32247">
      <w:pPr>
        <w:numPr>
          <w:ilvl w:val="0"/>
          <w:numId w:val="22"/>
        </w:numPr>
        <w:spacing w:line="360" w:lineRule="auto"/>
        <w:ind w:left="0" w:firstLine="0"/>
        <w:jc w:val="both"/>
        <w:rPr>
          <w:i/>
          <w:sz w:val="22"/>
          <w:szCs w:val="22"/>
        </w:rPr>
      </w:pPr>
      <w:r w:rsidRPr="00D11539">
        <w:rPr>
          <w:i/>
          <w:sz w:val="22"/>
          <w:szCs w:val="22"/>
        </w:rPr>
        <w:t>τ</w:t>
      </w:r>
      <w:r w:rsidRPr="00D11539">
        <w:rPr>
          <w:i/>
          <w:color w:val="000000"/>
          <w:sz w:val="22"/>
          <w:szCs w:val="22"/>
        </w:rPr>
        <w:t>ο</w:t>
      </w:r>
      <w:r w:rsidRPr="00D11539">
        <w:rPr>
          <w:b/>
          <w:bCs/>
          <w:i/>
          <w:color w:val="1C1C1C"/>
          <w:sz w:val="22"/>
          <w:szCs w:val="22"/>
        </w:rPr>
        <w:t xml:space="preserve"> άρθρο 206</w:t>
      </w:r>
      <w:r w:rsidRPr="00D11539">
        <w:rPr>
          <w:i/>
          <w:color w:val="333333"/>
          <w:sz w:val="22"/>
          <w:szCs w:val="22"/>
        </w:rPr>
        <w:t xml:space="preserve"> </w:t>
      </w:r>
      <w:r w:rsidRPr="00D11539">
        <w:rPr>
          <w:i/>
          <w:color w:val="000000"/>
          <w:sz w:val="22"/>
          <w:szCs w:val="22"/>
        </w:rPr>
        <w:t>παρ</w:t>
      </w:r>
      <w:r w:rsidRPr="00D11539">
        <w:rPr>
          <w:i/>
          <w:color w:val="333333"/>
          <w:sz w:val="22"/>
          <w:szCs w:val="22"/>
        </w:rPr>
        <w:t xml:space="preserve">. </w:t>
      </w:r>
      <w:r w:rsidRPr="00D11539">
        <w:rPr>
          <w:b/>
          <w:bCs/>
          <w:i/>
          <w:color w:val="1C1C1C"/>
          <w:sz w:val="22"/>
          <w:szCs w:val="22"/>
        </w:rPr>
        <w:t>1</w:t>
      </w:r>
      <w:r w:rsidRPr="00D11539">
        <w:rPr>
          <w:b/>
          <w:bCs/>
          <w:i/>
          <w:color w:val="666666"/>
          <w:sz w:val="22"/>
          <w:szCs w:val="22"/>
        </w:rPr>
        <w:t xml:space="preserve"> του </w:t>
      </w:r>
      <w:r w:rsidRPr="00D11539">
        <w:rPr>
          <w:b/>
          <w:bCs/>
          <w:i/>
          <w:color w:val="1C1C1C"/>
          <w:sz w:val="22"/>
          <w:szCs w:val="22"/>
        </w:rPr>
        <w:t>Ν. 4555/2018</w:t>
      </w:r>
      <w:r w:rsidRPr="00D11539">
        <w:rPr>
          <w:i/>
          <w:color w:val="333333"/>
          <w:sz w:val="22"/>
          <w:szCs w:val="22"/>
        </w:rPr>
        <w:t xml:space="preserve">, με το οποίο </w:t>
      </w:r>
      <w:r w:rsidRPr="00D11539">
        <w:rPr>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D32247" w:rsidRPr="00D11539" w:rsidRDefault="00D32247" w:rsidP="00D32247">
      <w:pPr>
        <w:numPr>
          <w:ilvl w:val="0"/>
          <w:numId w:val="22"/>
        </w:numPr>
        <w:spacing w:line="360" w:lineRule="auto"/>
        <w:ind w:left="0" w:firstLine="0"/>
        <w:jc w:val="both"/>
        <w:rPr>
          <w:i/>
          <w:sz w:val="22"/>
          <w:szCs w:val="22"/>
        </w:rPr>
      </w:pPr>
      <w:r w:rsidRPr="00D11539">
        <w:rPr>
          <w:rFonts w:eastAsia="Cambria"/>
          <w:i/>
          <w:sz w:val="22"/>
          <w:szCs w:val="22"/>
        </w:rPr>
        <w:t xml:space="preserve">τις διατάξεις του </w:t>
      </w:r>
      <w:r w:rsidRPr="00D11539">
        <w:rPr>
          <w:rFonts w:eastAsia="Cambria"/>
          <w:b/>
          <w:i/>
          <w:sz w:val="22"/>
          <w:szCs w:val="22"/>
        </w:rPr>
        <w:t>Ν. 4497/2017</w:t>
      </w:r>
      <w:r w:rsidRPr="00D11539">
        <w:rPr>
          <w:rFonts w:eastAsia="Cambria"/>
          <w:i/>
          <w:sz w:val="22"/>
          <w:szCs w:val="22"/>
        </w:rPr>
        <w:t xml:space="preserve"> (</w:t>
      </w:r>
      <w:r w:rsidRPr="00D11539">
        <w:rPr>
          <w:rStyle w:val="a5"/>
          <w:b w:val="0"/>
          <w:i/>
          <w:sz w:val="22"/>
          <w:szCs w:val="22"/>
        </w:rPr>
        <w:t>ΦΕΚ  Α’ 171/13.11.2017)</w:t>
      </w:r>
    </w:p>
    <w:p w:rsidR="00D32247" w:rsidRPr="00D11539" w:rsidRDefault="00D32247" w:rsidP="00D32247">
      <w:pPr>
        <w:numPr>
          <w:ilvl w:val="0"/>
          <w:numId w:val="22"/>
        </w:numPr>
        <w:spacing w:line="360" w:lineRule="auto"/>
        <w:ind w:left="0" w:firstLine="0"/>
        <w:jc w:val="both"/>
        <w:rPr>
          <w:i/>
          <w:sz w:val="22"/>
          <w:szCs w:val="22"/>
        </w:rPr>
      </w:pPr>
      <w:r w:rsidRPr="00D11539">
        <w:rPr>
          <w:rFonts w:eastAsia="Cambria"/>
          <w:i/>
          <w:color w:val="000000"/>
          <w:sz w:val="22"/>
          <w:szCs w:val="22"/>
        </w:rPr>
        <w:t xml:space="preserve">τις διατάξεις του </w:t>
      </w:r>
      <w:r w:rsidRPr="00D11539">
        <w:rPr>
          <w:rFonts w:eastAsia="Cambria"/>
          <w:b/>
          <w:i/>
          <w:color w:val="000000"/>
          <w:sz w:val="22"/>
          <w:szCs w:val="22"/>
        </w:rPr>
        <w:t>Ν. 4605/2019</w:t>
      </w:r>
      <w:r w:rsidRPr="00D11539">
        <w:rPr>
          <w:rFonts w:eastAsia="Cambria"/>
          <w:i/>
          <w:color w:val="000000"/>
          <w:sz w:val="22"/>
          <w:szCs w:val="22"/>
        </w:rPr>
        <w:t xml:space="preserve"> “Τροποποίηση διατάξεων του Ν. 4412/16 (</w:t>
      </w:r>
      <w:r w:rsidRPr="00D11539">
        <w:rPr>
          <w:rStyle w:val="a5"/>
          <w:b w:val="0"/>
          <w:i/>
          <w:sz w:val="22"/>
          <w:szCs w:val="22"/>
        </w:rPr>
        <w:t>ΦΕΚ Α’ 52/01.04.2019</w:t>
      </w:r>
      <w:r w:rsidRPr="00D11539">
        <w:rPr>
          <w:rFonts w:eastAsia="Cambria"/>
          <w:i/>
          <w:color w:val="000000"/>
          <w:sz w:val="22"/>
          <w:szCs w:val="22"/>
        </w:rPr>
        <w:t xml:space="preserve">)”. </w:t>
      </w:r>
    </w:p>
    <w:p w:rsidR="00D32247" w:rsidRPr="00D11539" w:rsidRDefault="00D32247" w:rsidP="00D32247">
      <w:pPr>
        <w:numPr>
          <w:ilvl w:val="0"/>
          <w:numId w:val="22"/>
        </w:numPr>
        <w:spacing w:line="360" w:lineRule="auto"/>
        <w:ind w:left="0" w:firstLine="0"/>
        <w:jc w:val="both"/>
        <w:rPr>
          <w:i/>
          <w:sz w:val="22"/>
          <w:szCs w:val="22"/>
        </w:rPr>
      </w:pPr>
      <w:r w:rsidRPr="00D11539">
        <w:rPr>
          <w:rFonts w:eastAsia="Cambria"/>
          <w:i/>
          <w:sz w:val="22"/>
          <w:szCs w:val="22"/>
        </w:rPr>
        <w:lastRenderedPageBreak/>
        <w:t>Τις διατάξεις του Ν 4782/2021 «</w:t>
      </w:r>
      <w:r w:rsidRPr="00D11539">
        <w:rPr>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D32247" w:rsidRPr="00D11539" w:rsidRDefault="00D32247" w:rsidP="00D32247">
      <w:pPr>
        <w:numPr>
          <w:ilvl w:val="0"/>
          <w:numId w:val="22"/>
        </w:numPr>
        <w:spacing w:line="360" w:lineRule="auto"/>
        <w:ind w:left="0" w:firstLine="0"/>
        <w:jc w:val="both"/>
        <w:rPr>
          <w:i/>
          <w:sz w:val="22"/>
          <w:szCs w:val="22"/>
        </w:rPr>
      </w:pPr>
      <w:r w:rsidRPr="00D11539">
        <w:rPr>
          <w:rFonts w:eastAsia="Cambria"/>
          <w:i/>
          <w:sz w:val="22"/>
          <w:szCs w:val="22"/>
        </w:rPr>
        <w:t xml:space="preserve">Το Σχέδιο Διακήρυξης το οποίο επισυνάπτεται </w:t>
      </w:r>
    </w:p>
    <w:p w:rsidR="00D32247" w:rsidRPr="00D11539" w:rsidRDefault="00D32247" w:rsidP="00D32247">
      <w:pPr>
        <w:jc w:val="center"/>
        <w:rPr>
          <w:b/>
          <w:bCs/>
          <w:i/>
          <w:sz w:val="22"/>
          <w:szCs w:val="22"/>
        </w:rPr>
      </w:pPr>
      <w:r w:rsidRPr="00D11539">
        <w:rPr>
          <w:b/>
          <w:bCs/>
          <w:i/>
          <w:sz w:val="22"/>
          <w:szCs w:val="22"/>
        </w:rPr>
        <w:t>Καλείται η Οικονομική Επιτροπή</w:t>
      </w:r>
    </w:p>
    <w:p w:rsidR="00D32247" w:rsidRPr="00D11539" w:rsidRDefault="00D32247" w:rsidP="00D32247">
      <w:pPr>
        <w:spacing w:line="360" w:lineRule="auto"/>
        <w:jc w:val="both"/>
        <w:rPr>
          <w:i/>
          <w:color w:val="000000"/>
          <w:sz w:val="22"/>
          <w:szCs w:val="22"/>
        </w:rPr>
      </w:pPr>
      <w:r w:rsidRPr="00D11539">
        <w:rPr>
          <w:i/>
          <w:sz w:val="22"/>
          <w:szCs w:val="22"/>
        </w:rPr>
        <w:t xml:space="preserve">Να καθορίσει τους όρους διακήρυξης του </w:t>
      </w:r>
      <w:r w:rsidRPr="00D11539">
        <w:rPr>
          <w:bCs/>
          <w:i/>
          <w:sz w:val="22"/>
          <w:szCs w:val="22"/>
        </w:rPr>
        <w:t>ηλεκτρονικού ανοικτού διαγωνισμού</w:t>
      </w:r>
      <w:r w:rsidRPr="00D11539">
        <w:rPr>
          <w:b/>
          <w:bCs/>
          <w:i/>
          <w:sz w:val="22"/>
          <w:szCs w:val="22"/>
        </w:rPr>
        <w:t xml:space="preserve"> </w:t>
      </w:r>
      <w:r w:rsidRPr="00D11539">
        <w:rPr>
          <w:i/>
          <w:sz w:val="22"/>
          <w:szCs w:val="22"/>
        </w:rPr>
        <w:t xml:space="preserve">άνω των ορίων </w:t>
      </w:r>
      <w:r w:rsidRPr="00D11539">
        <w:rPr>
          <w:bCs/>
          <w:i/>
          <w:sz w:val="22"/>
          <w:szCs w:val="22"/>
        </w:rPr>
        <w:t>με</w:t>
      </w:r>
      <w:r w:rsidRPr="00D11539">
        <w:rPr>
          <w:b/>
          <w:bCs/>
          <w:i/>
          <w:sz w:val="22"/>
          <w:szCs w:val="22"/>
        </w:rPr>
        <w:t xml:space="preserve"> </w:t>
      </w:r>
      <w:r w:rsidRPr="00D11539">
        <w:rPr>
          <w:bCs/>
          <w:i/>
          <w:sz w:val="22"/>
          <w:szCs w:val="22"/>
        </w:rPr>
        <w:t xml:space="preserve">τίτλο: </w:t>
      </w:r>
      <w:r w:rsidRPr="00D11539">
        <w:rPr>
          <w:b/>
          <w:bCs/>
          <w:i/>
          <w:sz w:val="22"/>
          <w:szCs w:val="22"/>
        </w:rPr>
        <w:t xml:space="preserve">«Ενίσχυση της </w:t>
      </w:r>
      <w:proofErr w:type="spellStart"/>
      <w:r w:rsidRPr="00D11539">
        <w:rPr>
          <w:b/>
          <w:bCs/>
          <w:i/>
          <w:sz w:val="22"/>
          <w:szCs w:val="22"/>
        </w:rPr>
        <w:t>μικροκινητικότητας</w:t>
      </w:r>
      <w:proofErr w:type="spellEnd"/>
      <w:r w:rsidRPr="00D11539">
        <w:rPr>
          <w:b/>
          <w:bCs/>
          <w:i/>
          <w:sz w:val="22"/>
          <w:szCs w:val="22"/>
        </w:rPr>
        <w:t xml:space="preserve"> στο Δήμο </w:t>
      </w:r>
      <w:proofErr w:type="spellStart"/>
      <w:r w:rsidRPr="00D11539">
        <w:rPr>
          <w:b/>
          <w:bCs/>
          <w:i/>
          <w:sz w:val="22"/>
          <w:szCs w:val="22"/>
        </w:rPr>
        <w:t>Λεβαδέων</w:t>
      </w:r>
      <w:proofErr w:type="spellEnd"/>
      <w:r w:rsidRPr="00D11539">
        <w:rPr>
          <w:b/>
          <w:i/>
          <w:sz w:val="22"/>
          <w:szCs w:val="22"/>
        </w:rPr>
        <w:t>»</w:t>
      </w:r>
      <w:r w:rsidRPr="00D11539">
        <w:rPr>
          <w:bCs/>
          <w:i/>
          <w:sz w:val="22"/>
          <w:szCs w:val="22"/>
        </w:rPr>
        <w:t xml:space="preserve">, </w:t>
      </w:r>
      <w:r w:rsidRPr="00D11539">
        <w:rPr>
          <w:b/>
          <w:bCs/>
          <w:i/>
          <w:sz w:val="22"/>
          <w:szCs w:val="22"/>
        </w:rPr>
        <w:t xml:space="preserve"> </w:t>
      </w:r>
      <w:r w:rsidRPr="00D11539">
        <w:rPr>
          <w:b/>
          <w:i/>
          <w:sz w:val="22"/>
          <w:szCs w:val="22"/>
        </w:rPr>
        <w:t xml:space="preserve"> </w:t>
      </w:r>
      <w:r w:rsidRPr="00D11539">
        <w:rPr>
          <w:rFonts w:eastAsia="Cambria"/>
          <w:i/>
          <w:sz w:val="22"/>
          <w:szCs w:val="22"/>
        </w:rPr>
        <w:t>ενδεικτικού προϋπολογισμού</w:t>
      </w:r>
      <w:r w:rsidRPr="00D11539">
        <w:rPr>
          <w:rFonts w:eastAsia="Cambria"/>
          <w:i/>
          <w:color w:val="666666"/>
          <w:sz w:val="22"/>
          <w:szCs w:val="22"/>
        </w:rPr>
        <w:t xml:space="preserve"> </w:t>
      </w:r>
      <w:r w:rsidRPr="00D11539">
        <w:rPr>
          <w:rFonts w:eastAsia="Cambria"/>
          <w:b/>
          <w:i/>
          <w:sz w:val="22"/>
          <w:szCs w:val="22"/>
        </w:rPr>
        <w:t>200.000,00 € χωρίς Φ.Π.Α</w:t>
      </w:r>
      <w:r w:rsidRPr="00D11539">
        <w:rPr>
          <w:b/>
          <w:i/>
          <w:sz w:val="22"/>
          <w:szCs w:val="22"/>
        </w:rPr>
        <w:t>. (248.000,00 € με Φ.Π.Α. 24%)</w:t>
      </w:r>
      <w:r w:rsidRPr="00D11539">
        <w:rPr>
          <w:i/>
          <w:sz w:val="22"/>
          <w:szCs w:val="22"/>
        </w:rPr>
        <w:t xml:space="preserve"> , </w:t>
      </w:r>
      <w:r w:rsidRPr="00D11539">
        <w:rPr>
          <w:bCs/>
          <w:i/>
          <w:sz w:val="22"/>
          <w:szCs w:val="22"/>
        </w:rPr>
        <w:t>σύμφωνα με την</w:t>
      </w:r>
      <w:r w:rsidRPr="00D11539">
        <w:rPr>
          <w:b/>
          <w:bCs/>
          <w:i/>
          <w:sz w:val="22"/>
          <w:szCs w:val="22"/>
        </w:rPr>
        <w:t xml:space="preserve">   </w:t>
      </w:r>
      <w:r w:rsidRPr="00D11539">
        <w:rPr>
          <w:i/>
          <w:sz w:val="22"/>
          <w:szCs w:val="22"/>
        </w:rPr>
        <w:t>υπ’ αρ</w:t>
      </w:r>
      <w:r w:rsidRPr="00D11539">
        <w:rPr>
          <w:b/>
          <w:i/>
          <w:color w:val="000000"/>
          <w:sz w:val="22"/>
          <w:szCs w:val="22"/>
        </w:rPr>
        <w:t>. 01</w:t>
      </w:r>
      <w:r w:rsidRPr="00D11539">
        <w:rPr>
          <w:b/>
          <w:bCs/>
          <w:i/>
          <w:color w:val="000000"/>
          <w:sz w:val="22"/>
          <w:szCs w:val="22"/>
        </w:rPr>
        <w:t>/2022</w:t>
      </w:r>
      <w:r w:rsidRPr="00D11539">
        <w:rPr>
          <w:bCs/>
          <w:i/>
          <w:color w:val="666666"/>
          <w:sz w:val="22"/>
          <w:szCs w:val="22"/>
        </w:rPr>
        <w:t xml:space="preserve"> </w:t>
      </w:r>
      <w:r w:rsidRPr="00D11539">
        <w:rPr>
          <w:bCs/>
          <w:i/>
          <w:sz w:val="22"/>
          <w:szCs w:val="22"/>
        </w:rPr>
        <w:t>μελέτη</w:t>
      </w:r>
      <w:r w:rsidRPr="00D11539">
        <w:rPr>
          <w:i/>
          <w:sz w:val="22"/>
          <w:szCs w:val="22"/>
        </w:rPr>
        <w:t xml:space="preserve">  της Δ/</w:t>
      </w:r>
      <w:proofErr w:type="spellStart"/>
      <w:r w:rsidRPr="00D11539">
        <w:rPr>
          <w:i/>
          <w:sz w:val="22"/>
          <w:szCs w:val="22"/>
        </w:rPr>
        <w:t>νσης</w:t>
      </w:r>
      <w:proofErr w:type="spellEnd"/>
      <w:r w:rsidRPr="00D11539">
        <w:rPr>
          <w:i/>
          <w:sz w:val="22"/>
          <w:szCs w:val="22"/>
        </w:rPr>
        <w:t xml:space="preserve"> Περιβάλλοντος , Καθαριότητας &amp; Πρασίνου που</w:t>
      </w:r>
      <w:r w:rsidRPr="00D11539">
        <w:rPr>
          <w:i/>
          <w:color w:val="000000"/>
          <w:sz w:val="22"/>
          <w:szCs w:val="22"/>
        </w:rPr>
        <w:t xml:space="preserve"> θα αποτελέσουν αναπόσπαστο μέρος της απόφασή σας.</w:t>
      </w:r>
    </w:p>
    <w:p w:rsidR="00B64ED5" w:rsidRPr="00D11539" w:rsidRDefault="00B100E2" w:rsidP="00B64ED5">
      <w:pPr>
        <w:rPr>
          <w:i/>
          <w:sz w:val="20"/>
          <w:szCs w:val="20"/>
        </w:rPr>
      </w:pPr>
      <w:r w:rsidRPr="00D11539">
        <w:rPr>
          <w:i/>
          <w:sz w:val="22"/>
          <w:szCs w:val="22"/>
        </w:rPr>
        <w:t xml:space="preserve"> </w:t>
      </w:r>
      <w:r w:rsidR="00B64ED5" w:rsidRPr="00D11539">
        <w:rPr>
          <w:i/>
          <w:sz w:val="20"/>
          <w:szCs w:val="20"/>
        </w:rPr>
        <w:t xml:space="preserve"> </w:t>
      </w:r>
    </w:p>
    <w:p w:rsidR="00B64ED5" w:rsidRPr="00D11539" w:rsidRDefault="00B64ED5" w:rsidP="00B64ED5">
      <w:pPr>
        <w:pStyle w:val="ad"/>
        <w:spacing w:before="119" w:after="119" w:line="360" w:lineRule="auto"/>
        <w:jc w:val="left"/>
        <w:rPr>
          <w:rFonts w:eastAsia="Arial"/>
          <w:b/>
          <w:kern w:val="1"/>
          <w:sz w:val="22"/>
          <w:szCs w:val="22"/>
          <w:lang w:bidi="hi-IN"/>
        </w:rPr>
      </w:pPr>
      <w:r w:rsidRPr="00D11539">
        <w:rPr>
          <w:rFonts w:eastAsia="Arial"/>
          <w:b/>
          <w:sz w:val="22"/>
          <w:szCs w:val="22"/>
        </w:rPr>
        <w:t xml:space="preserve">    </w:t>
      </w:r>
      <w:r w:rsidRPr="00D11539">
        <w:rPr>
          <w:rFonts w:eastAsia="Arial"/>
          <w:b/>
          <w:kern w:val="1"/>
          <w:sz w:val="22"/>
          <w:szCs w:val="22"/>
          <w:lang w:bidi="hi-IN"/>
        </w:rPr>
        <w:t>Η Οικονομική Επιτροπή  λαμβάνοντας υπόψη:</w:t>
      </w:r>
    </w:p>
    <w:p w:rsidR="00B64ED5" w:rsidRPr="00D11539" w:rsidRDefault="00B64ED5" w:rsidP="00B64ED5">
      <w:pPr>
        <w:pStyle w:val="ad"/>
        <w:spacing w:line="288" w:lineRule="auto"/>
        <w:rPr>
          <w:bCs/>
          <w:sz w:val="22"/>
          <w:szCs w:val="22"/>
        </w:rPr>
      </w:pPr>
      <w:r w:rsidRPr="00D11539">
        <w:rPr>
          <w:sz w:val="22"/>
          <w:szCs w:val="22"/>
        </w:rPr>
        <w:t>Τις διατάξεις του  άρθρου 40 του Ν.4735/2020 που αντικατέστησε το άρθρο 72  το</w:t>
      </w:r>
      <w:r w:rsidRPr="00D11539">
        <w:rPr>
          <w:bCs/>
          <w:sz w:val="22"/>
          <w:szCs w:val="22"/>
        </w:rPr>
        <w:t xml:space="preserve">υ     </w:t>
      </w:r>
    </w:p>
    <w:p w:rsidR="00B64ED5" w:rsidRPr="00D11539" w:rsidRDefault="00B64ED5" w:rsidP="00B64ED5">
      <w:pPr>
        <w:pStyle w:val="ad"/>
        <w:spacing w:line="288" w:lineRule="auto"/>
        <w:rPr>
          <w:rFonts w:eastAsia="Verdana"/>
          <w:bCs/>
          <w:iCs/>
          <w:sz w:val="22"/>
          <w:szCs w:val="22"/>
        </w:rPr>
      </w:pPr>
      <w:r w:rsidRPr="00D11539">
        <w:rPr>
          <w:bCs/>
          <w:sz w:val="22"/>
          <w:szCs w:val="22"/>
        </w:rPr>
        <w:t xml:space="preserve">   Ν.3852/20</w:t>
      </w:r>
      <w:r w:rsidRPr="00D11539">
        <w:rPr>
          <w:rFonts w:eastAsia="Verdana"/>
          <w:bCs/>
          <w:iCs/>
          <w:sz w:val="22"/>
          <w:szCs w:val="22"/>
        </w:rPr>
        <w:t>10</w:t>
      </w:r>
    </w:p>
    <w:p w:rsidR="00B64ED5" w:rsidRPr="00D11539" w:rsidRDefault="00B64ED5" w:rsidP="00B64ED5">
      <w:pPr>
        <w:pStyle w:val="ad"/>
        <w:spacing w:line="288" w:lineRule="auto"/>
        <w:rPr>
          <w:rFonts w:eastAsia="Verdana"/>
          <w:bCs/>
          <w:iCs/>
          <w:sz w:val="22"/>
          <w:szCs w:val="22"/>
        </w:rPr>
      </w:pPr>
      <w:r w:rsidRPr="00D11539">
        <w:rPr>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D11539">
        <w:rPr>
          <w:bCs/>
          <w:sz w:val="22"/>
          <w:szCs w:val="22"/>
        </w:rPr>
        <w:t xml:space="preserve">   Ν.3852/20</w:t>
      </w:r>
      <w:r w:rsidRPr="00D11539">
        <w:rPr>
          <w:rFonts w:eastAsia="Verdana"/>
          <w:bCs/>
          <w:iCs/>
          <w:sz w:val="22"/>
          <w:szCs w:val="22"/>
        </w:rPr>
        <w:t>10</w:t>
      </w:r>
    </w:p>
    <w:p w:rsidR="00B64ED5" w:rsidRPr="00D11539" w:rsidRDefault="00B64ED5" w:rsidP="00B64ED5">
      <w:pPr>
        <w:jc w:val="both"/>
        <w:rPr>
          <w:sz w:val="22"/>
          <w:szCs w:val="22"/>
        </w:rPr>
      </w:pPr>
      <w:r w:rsidRPr="00D11539">
        <w:rPr>
          <w:sz w:val="22"/>
          <w:szCs w:val="22"/>
        </w:rPr>
        <w:t xml:space="preserve">- του  άρθρου 77 του Ν. 4555/2018, </w:t>
      </w:r>
    </w:p>
    <w:p w:rsidR="00B64ED5" w:rsidRPr="00D11539" w:rsidRDefault="00B64ED5" w:rsidP="00B64ED5">
      <w:pPr>
        <w:jc w:val="both"/>
        <w:rPr>
          <w:sz w:val="22"/>
          <w:szCs w:val="22"/>
        </w:rPr>
      </w:pPr>
      <w:r w:rsidRPr="00D11539">
        <w:rPr>
          <w:sz w:val="22"/>
          <w:szCs w:val="22"/>
        </w:rPr>
        <w:t>-</w:t>
      </w:r>
      <w:r w:rsidRPr="00D11539">
        <w:rPr>
          <w:bCs/>
          <w:sz w:val="22"/>
          <w:szCs w:val="22"/>
        </w:rPr>
        <w:t xml:space="preserve">τις διατάξεις της </w:t>
      </w:r>
      <w:proofErr w:type="spellStart"/>
      <w:r w:rsidRPr="00D11539">
        <w:rPr>
          <w:bCs/>
          <w:sz w:val="22"/>
          <w:szCs w:val="22"/>
        </w:rPr>
        <w:t>υπ΄αριθμ</w:t>
      </w:r>
      <w:proofErr w:type="spellEnd"/>
      <w:r w:rsidRPr="00D11539">
        <w:rPr>
          <w:bCs/>
          <w:sz w:val="22"/>
          <w:szCs w:val="22"/>
        </w:rPr>
        <w:t xml:space="preserve"> 374/2022</w:t>
      </w:r>
      <w:r w:rsidRPr="00D11539">
        <w:rPr>
          <w:bCs/>
          <w:sz w:val="22"/>
          <w:szCs w:val="22"/>
          <w:u w:val="single"/>
        </w:rPr>
        <w:t xml:space="preserve"> εγκυκλίου του ΥΠ.ΕΣ. (ΑΔΑ: ΨΜΓΓ46ΜΤΛ6-Φ75) </w:t>
      </w:r>
      <w:r w:rsidRPr="00D11539">
        <w:rPr>
          <w:bCs/>
          <w:sz w:val="22"/>
          <w:szCs w:val="22"/>
        </w:rPr>
        <w:t>«Λειτουργία Οικονομικής Επιτροπής και Επιτροπής Ποιότητας Ζωής</w:t>
      </w:r>
      <w:r w:rsidRPr="00D11539">
        <w:rPr>
          <w:sz w:val="22"/>
          <w:szCs w:val="22"/>
        </w:rPr>
        <w:t xml:space="preserve">»  </w:t>
      </w:r>
    </w:p>
    <w:p w:rsidR="00B64ED5" w:rsidRPr="00D11539" w:rsidRDefault="00B64ED5" w:rsidP="00B64ED5">
      <w:pPr>
        <w:widowControl w:val="0"/>
        <w:spacing w:line="276" w:lineRule="auto"/>
        <w:jc w:val="both"/>
        <w:rPr>
          <w:kern w:val="2"/>
          <w:sz w:val="22"/>
          <w:szCs w:val="22"/>
          <w:lang w:bidi="hi-IN"/>
        </w:rPr>
      </w:pPr>
      <w:r w:rsidRPr="00D11539">
        <w:rPr>
          <w:color w:val="00000A"/>
          <w:sz w:val="22"/>
          <w:szCs w:val="22"/>
        </w:rPr>
        <w:t>-Το άρθρο 1</w:t>
      </w:r>
      <w:r w:rsidRPr="00D11539">
        <w:rPr>
          <w:color w:val="00000A"/>
          <w:kern w:val="2"/>
          <w:sz w:val="22"/>
          <w:szCs w:val="22"/>
          <w:highlight w:val="white"/>
          <w:lang w:bidi="hi-IN"/>
        </w:rPr>
        <w:t xml:space="preserve">4 </w:t>
      </w:r>
      <w:r w:rsidRPr="00D11539">
        <w:rPr>
          <w:kern w:val="2"/>
          <w:sz w:val="22"/>
          <w:szCs w:val="22"/>
          <w:highlight w:val="white"/>
          <w:lang w:bidi="hi-IN"/>
        </w:rPr>
        <w:t xml:space="preserve"> παρ.1 </w:t>
      </w:r>
      <w:r w:rsidRPr="00D11539">
        <w:rPr>
          <w:kern w:val="2"/>
          <w:sz w:val="22"/>
          <w:szCs w:val="22"/>
          <w:lang w:bidi="hi-IN"/>
        </w:rPr>
        <w:t>του Ν. 4625/19 καθώς και την παρ. 1 του άρθρου 203 του Ν. 4555/18</w:t>
      </w:r>
    </w:p>
    <w:p w:rsidR="000B02D7" w:rsidRDefault="00B64ED5" w:rsidP="00B100E2">
      <w:pPr>
        <w:widowControl w:val="0"/>
        <w:spacing w:line="276" w:lineRule="auto"/>
        <w:jc w:val="both"/>
        <w:rPr>
          <w:sz w:val="22"/>
          <w:szCs w:val="22"/>
        </w:rPr>
      </w:pPr>
      <w:r w:rsidRPr="00D11539">
        <w:rPr>
          <w:sz w:val="22"/>
          <w:szCs w:val="22"/>
          <w:highlight w:val="white"/>
        </w:rPr>
        <w:t xml:space="preserve">- </w:t>
      </w:r>
      <w:r w:rsidR="00B100E2" w:rsidRPr="00D11539">
        <w:rPr>
          <w:sz w:val="22"/>
          <w:szCs w:val="22"/>
          <w:highlight w:val="white"/>
        </w:rPr>
        <w:t>Την αριθμ.</w:t>
      </w:r>
      <w:r w:rsidR="00835BFF" w:rsidRPr="00D11539">
        <w:rPr>
          <w:sz w:val="22"/>
          <w:szCs w:val="22"/>
          <w:highlight w:val="white"/>
        </w:rPr>
        <w:t>01</w:t>
      </w:r>
      <w:r w:rsidR="00B100E2" w:rsidRPr="00D11539">
        <w:rPr>
          <w:sz w:val="22"/>
          <w:szCs w:val="22"/>
          <w:highlight w:val="white"/>
        </w:rPr>
        <w:t xml:space="preserve">/2023 μελέτη </w:t>
      </w:r>
      <w:r w:rsidR="00835BFF" w:rsidRPr="00D11539">
        <w:rPr>
          <w:sz w:val="22"/>
          <w:szCs w:val="22"/>
        </w:rPr>
        <w:t>της Δ/</w:t>
      </w:r>
      <w:proofErr w:type="spellStart"/>
      <w:r w:rsidR="00835BFF" w:rsidRPr="00D11539">
        <w:rPr>
          <w:sz w:val="22"/>
          <w:szCs w:val="22"/>
        </w:rPr>
        <w:t>νσης</w:t>
      </w:r>
      <w:proofErr w:type="spellEnd"/>
      <w:r w:rsidR="00835BFF" w:rsidRPr="00D11539">
        <w:rPr>
          <w:sz w:val="22"/>
          <w:szCs w:val="22"/>
        </w:rPr>
        <w:t xml:space="preserve"> Περιβάλλοντος , Καθαριότητας &amp; Πρασίνου </w:t>
      </w:r>
      <w:r w:rsidR="0045411C" w:rsidRPr="00D11539">
        <w:rPr>
          <w:sz w:val="22"/>
          <w:szCs w:val="22"/>
        </w:rPr>
        <w:t xml:space="preserve">με τίτλο </w:t>
      </w:r>
      <w:r w:rsidR="0045411C" w:rsidRPr="00D11539">
        <w:rPr>
          <w:bCs/>
          <w:sz w:val="22"/>
          <w:szCs w:val="22"/>
        </w:rPr>
        <w:t>«</w:t>
      </w:r>
      <w:r w:rsidR="0045411C" w:rsidRPr="00D11539">
        <w:rPr>
          <w:sz w:val="22"/>
          <w:szCs w:val="22"/>
        </w:rPr>
        <w:t xml:space="preserve">ΕΝΙΣΧΥΣΗ ΤΗΣ ΜΙΚΡΟΚΙΝΗΤΙΚΟΤΗΤΑΣ ΣΤΟ ΔΗΜΟ ΛΕΒΑΔΕΩΝ» </w:t>
      </w:r>
      <w:r w:rsidR="00B100E2" w:rsidRPr="00D11539">
        <w:rPr>
          <w:sz w:val="22"/>
          <w:szCs w:val="22"/>
          <w:highlight w:val="white"/>
        </w:rPr>
        <w:t>ενδεικτι</w:t>
      </w:r>
      <w:r w:rsidR="00835BFF" w:rsidRPr="00D11539">
        <w:rPr>
          <w:sz w:val="22"/>
          <w:szCs w:val="22"/>
          <w:highlight w:val="white"/>
        </w:rPr>
        <w:t xml:space="preserve">κού προϋπολογισμού </w:t>
      </w:r>
      <w:r w:rsidR="00835BFF" w:rsidRPr="00D11539">
        <w:rPr>
          <w:sz w:val="22"/>
          <w:szCs w:val="22"/>
        </w:rPr>
        <w:t xml:space="preserve"> 248.000,00 € με Φ.Π.Α. 24%  </w:t>
      </w:r>
      <w:r w:rsidR="00835BFF" w:rsidRPr="00D11539">
        <w:rPr>
          <w:sz w:val="22"/>
          <w:szCs w:val="22"/>
          <w:highlight w:val="white"/>
        </w:rPr>
        <w:t xml:space="preserve"> </w:t>
      </w:r>
    </w:p>
    <w:p w:rsidR="000B02D7" w:rsidRDefault="000B02D7" w:rsidP="00B100E2">
      <w:pPr>
        <w:widowControl w:val="0"/>
        <w:spacing w:line="276" w:lineRule="auto"/>
        <w:jc w:val="both"/>
        <w:rPr>
          <w:sz w:val="22"/>
          <w:szCs w:val="22"/>
        </w:rPr>
      </w:pPr>
      <w:r>
        <w:rPr>
          <w:sz w:val="22"/>
          <w:szCs w:val="22"/>
        </w:rPr>
        <w:t>-Την 5/2022 απόφασή της</w:t>
      </w:r>
    </w:p>
    <w:p w:rsidR="00835BFF" w:rsidRPr="00D11539" w:rsidRDefault="00835BFF" w:rsidP="00B100E2">
      <w:pPr>
        <w:widowControl w:val="0"/>
        <w:spacing w:line="276" w:lineRule="auto"/>
        <w:jc w:val="both"/>
        <w:rPr>
          <w:sz w:val="22"/>
          <w:szCs w:val="22"/>
        </w:rPr>
      </w:pPr>
      <w:r w:rsidRPr="00D11539">
        <w:rPr>
          <w:sz w:val="22"/>
          <w:szCs w:val="22"/>
        </w:rPr>
        <w:t>-Την</w:t>
      </w:r>
      <w:r w:rsidRPr="00D11539">
        <w:rPr>
          <w:rStyle w:val="apple-style-span"/>
          <w:rFonts w:eastAsia="Cambria"/>
          <w:color w:val="000000"/>
          <w:sz w:val="22"/>
          <w:szCs w:val="22"/>
        </w:rPr>
        <w:t xml:space="preserve">  υπ’ </w:t>
      </w:r>
      <w:proofErr w:type="spellStart"/>
      <w:r w:rsidRPr="00D11539">
        <w:rPr>
          <w:rStyle w:val="apple-style-span"/>
          <w:rFonts w:eastAsia="Cambria"/>
          <w:color w:val="000000"/>
          <w:sz w:val="22"/>
          <w:szCs w:val="22"/>
        </w:rPr>
        <w:t>αριθμ</w:t>
      </w:r>
      <w:proofErr w:type="spellEnd"/>
      <w:r w:rsidRPr="00D11539">
        <w:rPr>
          <w:rStyle w:val="apple-style-span"/>
          <w:rFonts w:eastAsia="Cambria"/>
          <w:color w:val="000000"/>
          <w:sz w:val="22"/>
          <w:szCs w:val="22"/>
        </w:rPr>
        <w:t xml:space="preserve">.  </w:t>
      </w:r>
      <w:r w:rsidRPr="00D11539">
        <w:rPr>
          <w:rStyle w:val="apple-style-span"/>
          <w:rFonts w:eastAsia="Cambria"/>
          <w:bCs/>
          <w:color w:val="000000"/>
          <w:sz w:val="22"/>
          <w:szCs w:val="22"/>
        </w:rPr>
        <w:t>512</w:t>
      </w:r>
      <w:r w:rsidRPr="00D11539">
        <w:rPr>
          <w:rStyle w:val="apple-style-span"/>
          <w:rFonts w:eastAsia="Cambria"/>
          <w:sz w:val="22"/>
          <w:szCs w:val="22"/>
        </w:rPr>
        <w:t xml:space="preserve">/2023 (αριθ. </w:t>
      </w:r>
      <w:proofErr w:type="spellStart"/>
      <w:r w:rsidRPr="00D11539">
        <w:rPr>
          <w:rStyle w:val="apple-style-span"/>
          <w:rFonts w:eastAsia="Cambria"/>
          <w:sz w:val="22"/>
          <w:szCs w:val="22"/>
        </w:rPr>
        <w:t>πρωτ</w:t>
      </w:r>
      <w:proofErr w:type="spellEnd"/>
      <w:r w:rsidRPr="00D11539">
        <w:rPr>
          <w:rStyle w:val="apple-style-span"/>
          <w:rFonts w:eastAsia="Cambria"/>
          <w:sz w:val="22"/>
          <w:szCs w:val="22"/>
        </w:rPr>
        <w:t>.: 6831/7-4-2023)</w:t>
      </w:r>
      <w:r w:rsidRPr="00D11539">
        <w:rPr>
          <w:rStyle w:val="apple-style-span"/>
          <w:rFonts w:eastAsia="Cambria"/>
          <w:color w:val="000000"/>
          <w:sz w:val="22"/>
          <w:szCs w:val="22"/>
        </w:rPr>
        <w:t xml:space="preserve"> Απόφαση Ανάληψης Υποχρέωσης</w:t>
      </w:r>
    </w:p>
    <w:p w:rsidR="00B64ED5" w:rsidRPr="00D11539" w:rsidRDefault="00B64ED5" w:rsidP="00B64ED5">
      <w:pPr>
        <w:widowControl w:val="0"/>
        <w:spacing w:line="276" w:lineRule="auto"/>
        <w:jc w:val="both"/>
        <w:rPr>
          <w:sz w:val="22"/>
          <w:szCs w:val="22"/>
        </w:rPr>
      </w:pPr>
      <w:r w:rsidRPr="00D11539">
        <w:rPr>
          <w:sz w:val="22"/>
          <w:szCs w:val="22"/>
        </w:rPr>
        <w:t xml:space="preserve">- Το με αρ. </w:t>
      </w:r>
      <w:proofErr w:type="spellStart"/>
      <w:r w:rsidRPr="00D11539">
        <w:rPr>
          <w:sz w:val="22"/>
          <w:szCs w:val="22"/>
        </w:rPr>
        <w:t>πρωτ</w:t>
      </w:r>
      <w:proofErr w:type="spellEnd"/>
      <w:r w:rsidRPr="00D11539">
        <w:rPr>
          <w:sz w:val="22"/>
          <w:szCs w:val="22"/>
        </w:rPr>
        <w:t xml:space="preserve">. </w:t>
      </w:r>
      <w:r w:rsidR="00B100E2" w:rsidRPr="00D11539">
        <w:rPr>
          <w:sz w:val="22"/>
          <w:szCs w:val="22"/>
        </w:rPr>
        <w:t>6</w:t>
      </w:r>
      <w:r w:rsidR="005B0B46" w:rsidRPr="00D11539">
        <w:rPr>
          <w:sz w:val="22"/>
          <w:szCs w:val="22"/>
        </w:rPr>
        <w:t>843</w:t>
      </w:r>
      <w:r w:rsidRPr="00D11539">
        <w:rPr>
          <w:rFonts w:eastAsia="Arial"/>
          <w:sz w:val="22"/>
          <w:szCs w:val="22"/>
        </w:rPr>
        <w:t>/</w:t>
      </w:r>
      <w:r w:rsidR="005B0B46" w:rsidRPr="00D11539">
        <w:rPr>
          <w:rFonts w:eastAsia="Arial"/>
          <w:sz w:val="22"/>
          <w:szCs w:val="22"/>
        </w:rPr>
        <w:t>07</w:t>
      </w:r>
      <w:r w:rsidRPr="00D11539">
        <w:rPr>
          <w:rFonts w:eastAsia="Arial"/>
          <w:sz w:val="22"/>
          <w:szCs w:val="22"/>
        </w:rPr>
        <w:t>-0</w:t>
      </w:r>
      <w:r w:rsidR="00B100E2" w:rsidRPr="00D11539">
        <w:rPr>
          <w:rFonts w:eastAsia="Arial"/>
          <w:sz w:val="22"/>
          <w:szCs w:val="22"/>
        </w:rPr>
        <w:t>4</w:t>
      </w:r>
      <w:r w:rsidRPr="00D11539">
        <w:rPr>
          <w:sz w:val="22"/>
          <w:szCs w:val="22"/>
        </w:rPr>
        <w:t xml:space="preserve">-2023  έγγραφο </w:t>
      </w:r>
      <w:r w:rsidRPr="00D11539">
        <w:rPr>
          <w:rFonts w:eastAsia="Arial"/>
          <w:sz w:val="22"/>
          <w:szCs w:val="22"/>
        </w:rPr>
        <w:t xml:space="preserve">του Τμ. Προϋπολογισμού ,Λογιστηρίου &amp; Προμηθειών </w:t>
      </w:r>
      <w:r w:rsidRPr="00D11539">
        <w:rPr>
          <w:rFonts w:eastAsia="Verdana"/>
          <w:color w:val="000000"/>
          <w:sz w:val="22"/>
          <w:szCs w:val="22"/>
        </w:rPr>
        <w:t xml:space="preserve"> τ</w:t>
      </w:r>
      <w:r w:rsidRPr="00D11539">
        <w:rPr>
          <w:sz w:val="22"/>
          <w:szCs w:val="22"/>
        </w:rPr>
        <w:t xml:space="preserve">ου Δήμου </w:t>
      </w:r>
      <w:proofErr w:type="spellStart"/>
      <w:r w:rsidRPr="00D11539">
        <w:rPr>
          <w:sz w:val="22"/>
          <w:szCs w:val="22"/>
        </w:rPr>
        <w:t>Λεβαδέων</w:t>
      </w:r>
      <w:proofErr w:type="spellEnd"/>
      <w:r w:rsidRPr="00D11539">
        <w:rPr>
          <w:sz w:val="22"/>
          <w:szCs w:val="22"/>
        </w:rPr>
        <w:t xml:space="preserve"> </w:t>
      </w:r>
      <w:r w:rsidR="00B100E2" w:rsidRPr="00D11539">
        <w:rPr>
          <w:sz w:val="22"/>
          <w:szCs w:val="22"/>
        </w:rPr>
        <w:t>που διανεμήθηκε</w:t>
      </w:r>
    </w:p>
    <w:p w:rsidR="00B64ED5" w:rsidRPr="00D11539" w:rsidRDefault="00B64ED5" w:rsidP="00B64ED5">
      <w:pPr>
        <w:widowControl w:val="0"/>
        <w:spacing w:line="276" w:lineRule="auto"/>
        <w:jc w:val="both"/>
        <w:rPr>
          <w:sz w:val="22"/>
          <w:szCs w:val="22"/>
        </w:rPr>
      </w:pPr>
      <w:r w:rsidRPr="00D11539">
        <w:rPr>
          <w:sz w:val="22"/>
          <w:szCs w:val="22"/>
        </w:rPr>
        <w:t>-Την μεταξύ των μελών συζήτηση σύμφωνα με τα πρακτικά</w:t>
      </w:r>
    </w:p>
    <w:p w:rsidR="00B64ED5" w:rsidRPr="00D11539" w:rsidRDefault="00B64ED5" w:rsidP="00B64ED5">
      <w:pPr>
        <w:pStyle w:val="af9"/>
        <w:widowControl w:val="0"/>
        <w:suppressAutoHyphens w:val="0"/>
        <w:spacing w:line="276" w:lineRule="auto"/>
        <w:ind w:left="0"/>
        <w:jc w:val="both"/>
        <w:rPr>
          <w:sz w:val="22"/>
          <w:szCs w:val="22"/>
        </w:rPr>
      </w:pPr>
      <w:r w:rsidRPr="00D11539">
        <w:rPr>
          <w:sz w:val="22"/>
          <w:szCs w:val="22"/>
        </w:rPr>
        <w:t>- Την ψήφο των μελών της όπως αυτή  διατυπώθηκε και δηλώθηκε δια ζώσης στην συνεδρίαση.</w:t>
      </w:r>
    </w:p>
    <w:p w:rsidR="00B64ED5" w:rsidRPr="00D11539" w:rsidRDefault="00B64ED5" w:rsidP="00B64ED5">
      <w:pPr>
        <w:widowControl w:val="0"/>
        <w:suppressAutoHyphens w:val="0"/>
        <w:spacing w:line="360" w:lineRule="auto"/>
        <w:jc w:val="both"/>
        <w:rPr>
          <w:b/>
          <w:sz w:val="22"/>
          <w:szCs w:val="22"/>
        </w:rPr>
      </w:pPr>
      <w:r w:rsidRPr="00D11539">
        <w:rPr>
          <w:sz w:val="22"/>
          <w:szCs w:val="22"/>
        </w:rPr>
        <w:t>.</w:t>
      </w:r>
      <w:r w:rsidRPr="00D11539">
        <w:rPr>
          <w:b/>
          <w:sz w:val="22"/>
          <w:szCs w:val="22"/>
        </w:rPr>
        <w:t xml:space="preserve">                       </w:t>
      </w:r>
    </w:p>
    <w:p w:rsidR="00B64ED5" w:rsidRPr="00D11539" w:rsidRDefault="00B64ED5" w:rsidP="00B64ED5">
      <w:pPr>
        <w:ind w:left="808"/>
        <w:jc w:val="both"/>
        <w:rPr>
          <w:b/>
          <w:sz w:val="22"/>
          <w:szCs w:val="22"/>
        </w:rPr>
      </w:pPr>
      <w:r w:rsidRPr="00D11539">
        <w:rPr>
          <w:b/>
          <w:sz w:val="22"/>
          <w:szCs w:val="22"/>
        </w:rPr>
        <w:t xml:space="preserve">                               ΑΠΟΦΑΣΙΖΕΙ  ΟΜΟΦΩΝΑ</w:t>
      </w:r>
    </w:p>
    <w:p w:rsidR="005B0B46" w:rsidRPr="00D11539" w:rsidRDefault="005B0B46" w:rsidP="00B64ED5">
      <w:pPr>
        <w:ind w:left="808"/>
        <w:jc w:val="both"/>
        <w:rPr>
          <w:b/>
          <w:sz w:val="22"/>
          <w:szCs w:val="22"/>
        </w:rPr>
      </w:pPr>
    </w:p>
    <w:p w:rsidR="005B0B46" w:rsidRPr="00D11539" w:rsidRDefault="005B0B46" w:rsidP="00B64ED5">
      <w:pPr>
        <w:ind w:left="808"/>
        <w:jc w:val="both"/>
        <w:rPr>
          <w:b/>
          <w:sz w:val="22"/>
          <w:szCs w:val="22"/>
        </w:rPr>
      </w:pPr>
    </w:p>
    <w:p w:rsidR="005B0B46" w:rsidRPr="00D11539" w:rsidRDefault="005B0B46" w:rsidP="005B0B46">
      <w:pPr>
        <w:ind w:left="284" w:firstLine="283"/>
        <w:jc w:val="both"/>
        <w:rPr>
          <w:sz w:val="22"/>
          <w:szCs w:val="22"/>
        </w:rPr>
      </w:pPr>
      <w:r w:rsidRPr="00D11539">
        <w:rPr>
          <w:sz w:val="22"/>
          <w:szCs w:val="22"/>
        </w:rPr>
        <w:t xml:space="preserve">Καθορίζει τους όρους διακήρυξης του </w:t>
      </w:r>
      <w:r w:rsidRPr="00D11539">
        <w:rPr>
          <w:bCs/>
          <w:sz w:val="22"/>
          <w:szCs w:val="22"/>
        </w:rPr>
        <w:t xml:space="preserve">ηλεκτρονικού ανοικτού διαγωνισμού </w:t>
      </w:r>
      <w:r w:rsidRPr="00D11539">
        <w:rPr>
          <w:sz w:val="22"/>
          <w:szCs w:val="22"/>
        </w:rPr>
        <w:t xml:space="preserve">άνω των ορίων </w:t>
      </w:r>
      <w:r w:rsidRPr="00D11539">
        <w:rPr>
          <w:bCs/>
          <w:sz w:val="22"/>
          <w:szCs w:val="22"/>
        </w:rPr>
        <w:t>με τίτλο: «</w:t>
      </w:r>
      <w:r w:rsidRPr="000C1226">
        <w:rPr>
          <w:bCs/>
          <w:sz w:val="22"/>
          <w:szCs w:val="22"/>
        </w:rPr>
        <w:t xml:space="preserve">Ενίσχυση της </w:t>
      </w:r>
      <w:proofErr w:type="spellStart"/>
      <w:r w:rsidRPr="000C1226">
        <w:rPr>
          <w:bCs/>
          <w:sz w:val="22"/>
          <w:szCs w:val="22"/>
        </w:rPr>
        <w:t>μικροκινητικότητας</w:t>
      </w:r>
      <w:proofErr w:type="spellEnd"/>
      <w:r w:rsidRPr="000C1226">
        <w:rPr>
          <w:bCs/>
          <w:sz w:val="22"/>
          <w:szCs w:val="22"/>
        </w:rPr>
        <w:t xml:space="preserve"> στο Δήμο </w:t>
      </w:r>
      <w:proofErr w:type="spellStart"/>
      <w:r w:rsidRPr="000C1226">
        <w:rPr>
          <w:bCs/>
          <w:sz w:val="22"/>
          <w:szCs w:val="22"/>
        </w:rPr>
        <w:t>Λεβαδέων</w:t>
      </w:r>
      <w:proofErr w:type="spellEnd"/>
      <w:r w:rsidRPr="000C1226">
        <w:rPr>
          <w:sz w:val="22"/>
          <w:szCs w:val="22"/>
        </w:rPr>
        <w:t>»</w:t>
      </w:r>
      <w:r w:rsidRPr="000C1226">
        <w:rPr>
          <w:bCs/>
          <w:sz w:val="22"/>
          <w:szCs w:val="22"/>
        </w:rPr>
        <w:t xml:space="preserve">,  </w:t>
      </w:r>
      <w:r w:rsidRPr="000C1226">
        <w:rPr>
          <w:sz w:val="22"/>
          <w:szCs w:val="22"/>
        </w:rPr>
        <w:t xml:space="preserve"> </w:t>
      </w:r>
      <w:r w:rsidRPr="000C1226">
        <w:rPr>
          <w:rFonts w:eastAsia="Cambria"/>
          <w:sz w:val="22"/>
          <w:szCs w:val="22"/>
        </w:rPr>
        <w:t xml:space="preserve">ενδεικτικού </w:t>
      </w:r>
      <w:r w:rsidR="00835BFF" w:rsidRPr="000C1226">
        <w:rPr>
          <w:rFonts w:eastAsia="Cambria"/>
          <w:sz w:val="22"/>
          <w:szCs w:val="22"/>
        </w:rPr>
        <w:t>προϋπολογισμού</w:t>
      </w:r>
      <w:r w:rsidR="00835BFF" w:rsidRPr="000C1226">
        <w:rPr>
          <w:rFonts w:eastAsia="Cambria"/>
          <w:color w:val="666666"/>
          <w:sz w:val="22"/>
          <w:szCs w:val="22"/>
        </w:rPr>
        <w:t xml:space="preserve"> </w:t>
      </w:r>
      <w:r w:rsidR="00835BFF" w:rsidRPr="000C1226">
        <w:rPr>
          <w:rFonts w:eastAsia="Cambria"/>
          <w:sz w:val="22"/>
          <w:szCs w:val="22"/>
        </w:rPr>
        <w:t>200.000,00</w:t>
      </w:r>
      <w:r w:rsidR="00835BFF" w:rsidRPr="00D11539">
        <w:rPr>
          <w:rFonts w:eastAsia="Cambria"/>
          <w:sz w:val="22"/>
          <w:szCs w:val="22"/>
        </w:rPr>
        <w:t xml:space="preserve"> € χωρίς Φ.Π.Α</w:t>
      </w:r>
      <w:r w:rsidR="00835BFF" w:rsidRPr="00D11539">
        <w:rPr>
          <w:sz w:val="22"/>
          <w:szCs w:val="22"/>
        </w:rPr>
        <w:t>. (248.000,00 € με Φ.Π.Α. 24%)</w:t>
      </w:r>
      <w:r w:rsidRPr="00D11539">
        <w:rPr>
          <w:sz w:val="22"/>
          <w:szCs w:val="22"/>
        </w:rPr>
        <w:t xml:space="preserve">, </w:t>
      </w:r>
      <w:r w:rsidRPr="00D11539">
        <w:rPr>
          <w:bCs/>
          <w:sz w:val="22"/>
          <w:szCs w:val="22"/>
        </w:rPr>
        <w:t xml:space="preserve">σύμφωνα με την   </w:t>
      </w:r>
      <w:r w:rsidRPr="00D11539">
        <w:rPr>
          <w:sz w:val="22"/>
          <w:szCs w:val="22"/>
        </w:rPr>
        <w:t>υπ’ αρ</w:t>
      </w:r>
      <w:r w:rsidRPr="00D11539">
        <w:rPr>
          <w:color w:val="000000"/>
          <w:sz w:val="22"/>
          <w:szCs w:val="22"/>
        </w:rPr>
        <w:t>. 01</w:t>
      </w:r>
      <w:r w:rsidRPr="00D11539">
        <w:rPr>
          <w:bCs/>
          <w:color w:val="000000"/>
          <w:sz w:val="22"/>
          <w:szCs w:val="22"/>
        </w:rPr>
        <w:t>/2022</w:t>
      </w:r>
      <w:r w:rsidRPr="00D11539">
        <w:rPr>
          <w:bCs/>
          <w:color w:val="666666"/>
          <w:sz w:val="22"/>
          <w:szCs w:val="22"/>
        </w:rPr>
        <w:t xml:space="preserve"> </w:t>
      </w:r>
      <w:r w:rsidRPr="00D11539">
        <w:rPr>
          <w:bCs/>
          <w:sz w:val="22"/>
          <w:szCs w:val="22"/>
        </w:rPr>
        <w:t>μελέτη</w:t>
      </w:r>
      <w:r w:rsidRPr="00D11539">
        <w:rPr>
          <w:sz w:val="22"/>
          <w:szCs w:val="22"/>
        </w:rPr>
        <w:t xml:space="preserve">  της Δ/</w:t>
      </w:r>
      <w:proofErr w:type="spellStart"/>
      <w:r w:rsidRPr="00D11539">
        <w:rPr>
          <w:sz w:val="22"/>
          <w:szCs w:val="22"/>
        </w:rPr>
        <w:t>νσης</w:t>
      </w:r>
      <w:proofErr w:type="spellEnd"/>
      <w:r w:rsidRPr="00D11539">
        <w:rPr>
          <w:sz w:val="22"/>
          <w:szCs w:val="22"/>
        </w:rPr>
        <w:t xml:space="preserve"> Περιβάλλοντος , Καθαριότητας &amp; Πρασίνου ως παρακάτω :</w:t>
      </w:r>
    </w:p>
    <w:p w:rsidR="005B0B46" w:rsidRPr="005B0B46" w:rsidRDefault="005B0B46" w:rsidP="00B64ED5">
      <w:pPr>
        <w:ind w:left="808"/>
        <w:jc w:val="both"/>
        <w:rPr>
          <w:rFonts w:ascii="Arial" w:hAnsi="Arial" w:cs="Arial"/>
          <w:b/>
          <w:sz w:val="22"/>
          <w:szCs w:val="22"/>
        </w:rPr>
      </w:pPr>
    </w:p>
    <w:p w:rsidR="00D32247" w:rsidRPr="00D32247" w:rsidRDefault="00D32247" w:rsidP="00D32247">
      <w:bookmarkStart w:id="6" w:name="_Toc108094073"/>
      <w:r w:rsidRPr="00D32247">
        <w:t>ΑΝΑΘΕΤΟΥΣΑ ΑΡΧΗ ΚΑΙ ΑΝΤΙΚΕΙΜΕΝΟ ΣΥΜΒΑΣΗΣ</w:t>
      </w:r>
      <w:bookmarkEnd w:id="6"/>
    </w:p>
    <w:p w:rsidR="00D32247" w:rsidRPr="00D32247" w:rsidRDefault="00D32247" w:rsidP="00D32247">
      <w:bookmarkStart w:id="7" w:name="_Toc108094074"/>
      <w:r w:rsidRPr="00D32247">
        <w:t>1.1</w:t>
      </w:r>
      <w:r w:rsidRPr="00D32247">
        <w:tab/>
        <w:t>Στοιχεία Αναθέτουσας Αρχής</w:t>
      </w:r>
      <w:bookmarkEnd w:id="7"/>
      <w:r w:rsidRPr="00D32247">
        <w:t xml:space="preserve"> </w:t>
      </w:r>
    </w:p>
    <w:p w:rsidR="00D32247" w:rsidRPr="00D32247" w:rsidRDefault="00D32247" w:rsidP="00D32247"/>
    <w:tbl>
      <w:tblPr>
        <w:tblW w:w="0" w:type="auto"/>
        <w:tblInd w:w="108" w:type="dxa"/>
        <w:tblLayout w:type="fixed"/>
        <w:tblLook w:val="0000"/>
      </w:tblPr>
      <w:tblGrid>
        <w:gridCol w:w="5245"/>
        <w:gridCol w:w="4419"/>
      </w:tblGrid>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r w:rsidRPr="00D32247">
              <w:t>ΔΗΜΟΣ ΛΕΒΑΔΕΩΝ</w:t>
            </w:r>
          </w:p>
        </w:tc>
      </w:tr>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r w:rsidRPr="00D32247">
              <w:t>998016227</w:t>
            </w:r>
          </w:p>
        </w:tc>
      </w:tr>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t>Κωδικός ηλεκτρονικής τιμολόγησης</w:t>
            </w:r>
            <w:r w:rsidRPr="00D32247">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r w:rsidRPr="00D32247">
              <w:t>1007.E82801.0001</w:t>
            </w:r>
          </w:p>
        </w:tc>
      </w:tr>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r w:rsidRPr="00D32247">
              <w:t>ΣΟΦΟΚΛΕΟΥΣ 15</w:t>
            </w:r>
          </w:p>
        </w:tc>
      </w:tr>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lastRenderedPageBreak/>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r w:rsidRPr="00D32247">
              <w:t>ΛΙΒΑΔΙΑ</w:t>
            </w:r>
          </w:p>
        </w:tc>
      </w:tr>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r w:rsidRPr="00D32247">
              <w:t>32131</w:t>
            </w:r>
          </w:p>
        </w:tc>
      </w:tr>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t>Χώρα</w:t>
            </w:r>
            <w:r w:rsidRPr="00D32247">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r w:rsidRPr="00D32247">
              <w:t>ΕΛΛΑΔΑ</w:t>
            </w:r>
          </w:p>
        </w:tc>
      </w:tr>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t>Κωδικός ΝUTS</w:t>
            </w:r>
            <w:r w:rsidRPr="00D32247">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r w:rsidRPr="00D32247">
              <w:t xml:space="preserve">EL641 Βοιωτία / </w:t>
            </w:r>
            <w:proofErr w:type="spellStart"/>
            <w:r w:rsidRPr="00D32247">
              <w:t>Voiotia</w:t>
            </w:r>
            <w:proofErr w:type="spellEnd"/>
          </w:p>
        </w:tc>
      </w:tr>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r w:rsidRPr="00D32247">
              <w:t>+30 2261350829</w:t>
            </w:r>
          </w:p>
        </w:tc>
      </w:tr>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t>Ηλεκτρονικό Ταχυδρομείο (e-</w:t>
            </w:r>
            <w:proofErr w:type="spellStart"/>
            <w:r w:rsidRPr="00D32247">
              <w:t>mai</w:t>
            </w:r>
            <w:proofErr w:type="spellEnd"/>
            <w:r w:rsidRPr="00D32247">
              <w:t>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r w:rsidRPr="00D32247">
              <w:t>gvarelas@livadia.gr</w:t>
            </w:r>
          </w:p>
        </w:tc>
      </w:tr>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t>Αρμόδιος για πληροφορίες</w:t>
            </w:r>
            <w:r w:rsidRPr="00D32247">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r w:rsidRPr="00D32247">
              <w:t>ΓΕΩΡΓΙΟΣ ΒΑΡΕΛΑΣ</w:t>
            </w:r>
          </w:p>
        </w:tc>
      </w:tr>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bookmarkStart w:id="8" w:name="_Hlk126139131"/>
            <w:proofErr w:type="spellStart"/>
            <w:r w:rsidRPr="00D32247">
              <w:t>www.dimoslevadeon.gr</w:t>
            </w:r>
            <w:bookmarkEnd w:id="8"/>
            <w:proofErr w:type="spellEnd"/>
          </w:p>
        </w:tc>
      </w:tr>
      <w:tr w:rsidR="00D32247" w:rsidRPr="00D32247" w:rsidTr="005B0B46">
        <w:tc>
          <w:tcPr>
            <w:tcW w:w="5245" w:type="dxa"/>
            <w:tcBorders>
              <w:top w:val="single" w:sz="4" w:space="0" w:color="000000"/>
              <w:left w:val="single" w:sz="4" w:space="0" w:color="000000"/>
              <w:bottom w:val="single" w:sz="4" w:space="0" w:color="000000"/>
            </w:tcBorders>
            <w:shd w:val="clear" w:color="auto" w:fill="auto"/>
          </w:tcPr>
          <w:p w:rsidR="00D32247" w:rsidRPr="00D32247" w:rsidRDefault="00D32247" w:rsidP="00D32247">
            <w:r w:rsidRPr="00D32247">
              <w:t>Διεύθυνση του προφίλ αγοραστή στο διαδίκτυο (URL)</w:t>
            </w:r>
            <w:r w:rsidRPr="00D32247">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D32247" w:rsidRPr="00D32247" w:rsidRDefault="00D32247" w:rsidP="00D32247"/>
        </w:tc>
      </w:tr>
    </w:tbl>
    <w:p w:rsidR="00D32247" w:rsidRPr="00D32247" w:rsidRDefault="00D32247" w:rsidP="00D32247"/>
    <w:p w:rsidR="00D32247" w:rsidRPr="00D32247" w:rsidRDefault="00D32247" w:rsidP="00D32247">
      <w:r w:rsidRPr="00D32247">
        <w:t xml:space="preserve">Είδος Αναθέτουσας Αρχής </w:t>
      </w:r>
    </w:p>
    <w:p w:rsidR="00D32247" w:rsidRPr="00D32247" w:rsidRDefault="00D32247" w:rsidP="00D32247">
      <w:pPr>
        <w:rPr>
          <w:rFonts w:eastAsia="Calibri"/>
        </w:rPr>
      </w:pPr>
      <w:r w:rsidRPr="00D32247">
        <w:t>Η Αναθέτουσα Αρχή είναι Οργανισμός Τοπικής Αυτοδιοίκησης και ανήκει στη Γενική Κυβέρνηση.</w:t>
      </w:r>
    </w:p>
    <w:p w:rsidR="00D32247" w:rsidRPr="00D32247" w:rsidRDefault="00D32247" w:rsidP="00D32247">
      <w:r w:rsidRPr="00D32247">
        <w:rPr>
          <w:rFonts w:eastAsia="Calibri"/>
        </w:rPr>
        <w:t xml:space="preserve">  </w:t>
      </w:r>
    </w:p>
    <w:p w:rsidR="00D32247" w:rsidRPr="00D32247" w:rsidRDefault="00D32247" w:rsidP="00D32247">
      <w:r w:rsidRPr="00D32247">
        <w:t>Κύρια δραστηριότητα Α.Α.</w:t>
      </w:r>
      <w:r w:rsidRPr="00D32247">
        <w:footnoteReference w:id="6"/>
      </w:r>
    </w:p>
    <w:p w:rsidR="00D32247" w:rsidRPr="00D32247" w:rsidRDefault="00D32247" w:rsidP="00D32247">
      <w:r w:rsidRPr="00D32247">
        <w:t>Η κύρια δραστηριότητα της Αναθέτουσας Αρχής είναι οι Γενικές Δημόσιες Υπηρεσίες.</w:t>
      </w:r>
    </w:p>
    <w:p w:rsidR="00D32247" w:rsidRPr="00D32247" w:rsidRDefault="00D32247" w:rsidP="00D32247"/>
    <w:p w:rsidR="00D32247" w:rsidRPr="00D32247" w:rsidRDefault="00D32247" w:rsidP="00D32247">
      <w:r w:rsidRPr="00D32247">
        <w:t xml:space="preserve">Στοιχεία Επικοινωνίας </w:t>
      </w:r>
      <w:r w:rsidRPr="00D32247">
        <w:footnoteReference w:id="7"/>
      </w:r>
      <w:r w:rsidRPr="00D32247">
        <w:t xml:space="preserve"> </w:t>
      </w:r>
    </w:p>
    <w:p w:rsidR="00D32247" w:rsidRPr="00D32247" w:rsidRDefault="00D32247" w:rsidP="00D32247">
      <w:bookmarkStart w:id="9" w:name="_Hlk74556073"/>
      <w:r w:rsidRPr="00D32247">
        <w:t>α)</w:t>
      </w:r>
      <w:bookmarkEnd w:id="9"/>
      <w:r w:rsidRPr="00D32247">
        <w:tab/>
      </w:r>
      <w:bookmarkStart w:id="10" w:name="_Hlk74555988"/>
      <w:r w:rsidRPr="00D32247">
        <w:t>Τα έγγραφα της σύμβασης είναι διαθέσιμα για ελεύθερη, πλήρη, άμεση &amp; δωρεάν ηλεκτρονική πρόσβαση μέσω της Διαδικτυακής Πύλης (</w:t>
      </w:r>
      <w:proofErr w:type="spellStart"/>
      <w:r w:rsidRPr="00D32247">
        <w:t>www.promitheus.gov.gr</w:t>
      </w:r>
      <w:proofErr w:type="spellEnd"/>
      <w:r w:rsidRPr="00D32247">
        <w:t>) του ΟΠΣ ΕΣΗΔΗΣ.</w:t>
      </w:r>
      <w:r w:rsidRPr="00D32247">
        <w:footnoteReference w:id="8"/>
      </w:r>
    </w:p>
    <w:p w:rsidR="00D32247" w:rsidRPr="00D32247" w:rsidRDefault="00D32247" w:rsidP="00D32247">
      <w:r w:rsidRPr="00D32247">
        <w:t>β)</w:t>
      </w:r>
      <w:r w:rsidRPr="00D32247">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D32247">
        <w:t>προσβάσιμο</w:t>
      </w:r>
      <w:proofErr w:type="spellEnd"/>
      <w:r w:rsidRPr="00D32247">
        <w:t xml:space="preserve"> από τη Διαδικτυακή Πύλη (</w:t>
      </w:r>
      <w:proofErr w:type="spellStart"/>
      <w:r w:rsidRPr="00D32247">
        <w:t>www.promitheus.gov.gr</w:t>
      </w:r>
      <w:proofErr w:type="spellEnd"/>
      <w:r w:rsidRPr="00D32247">
        <w:t>) του ΟΠΣ ΕΣΗΔΗΣ.</w:t>
      </w:r>
    </w:p>
    <w:p w:rsidR="00D32247" w:rsidRPr="00D32247" w:rsidRDefault="00D32247" w:rsidP="00D32247">
      <w:r w:rsidRPr="00D32247">
        <w:t>γ)</w:t>
      </w:r>
      <w:r w:rsidRPr="00D32247">
        <w:tab/>
        <w:t xml:space="preserve">Περαιτέρω πληροφορίες είναι διαθέσιμες από την προαναφερθείσα Γενική Διεύθυνση στο διαδίκτυο (URL): </w:t>
      </w:r>
      <w:bookmarkEnd w:id="10"/>
      <w:proofErr w:type="spellStart"/>
      <w:r w:rsidRPr="00D32247">
        <w:t>www.dimoslevadeon.gr</w:t>
      </w:r>
      <w:proofErr w:type="spellEnd"/>
    </w:p>
    <w:p w:rsidR="00D32247" w:rsidRPr="00D32247" w:rsidRDefault="00D32247" w:rsidP="00D32247"/>
    <w:p w:rsidR="00D32247" w:rsidRPr="00D32247" w:rsidRDefault="00D32247" w:rsidP="00D32247">
      <w:bookmarkStart w:id="11" w:name="_Toc108094075"/>
      <w:r w:rsidRPr="00D32247">
        <w:t>1.2</w:t>
      </w:r>
      <w:r w:rsidRPr="00D32247">
        <w:tab/>
        <w:t>Στοιχεία Διαδικασίας-Χρηματοδότηση</w:t>
      </w:r>
      <w:bookmarkEnd w:id="11"/>
    </w:p>
    <w:p w:rsidR="00D32247" w:rsidRPr="00D32247" w:rsidRDefault="00D32247" w:rsidP="00D32247">
      <w:r w:rsidRPr="00D32247">
        <w:t xml:space="preserve">Είδος διαδικασίας </w:t>
      </w:r>
    </w:p>
    <w:p w:rsidR="00D32247" w:rsidRPr="00D32247" w:rsidRDefault="00D32247" w:rsidP="00D32247">
      <w:r w:rsidRPr="00D32247">
        <w:t xml:space="preserve">Ο διαγωνισμός θα διεξαχθεί με την ανοικτή διαδικασία του άρθρου 27 του ν. 4412/16. </w:t>
      </w:r>
    </w:p>
    <w:p w:rsidR="00D32247" w:rsidRPr="00D32247" w:rsidRDefault="00D32247" w:rsidP="00D32247"/>
    <w:p w:rsidR="00D32247" w:rsidRPr="00D32247" w:rsidRDefault="00D32247" w:rsidP="00D32247">
      <w:r w:rsidRPr="00D32247">
        <w:t>Χρηματοδότηση της σύμβασης</w:t>
      </w:r>
      <w:r w:rsidRPr="00D32247">
        <w:footnoteReference w:id="9"/>
      </w:r>
    </w:p>
    <w:p w:rsidR="00D32247" w:rsidRPr="00D32247" w:rsidRDefault="00D32247" w:rsidP="00D32247">
      <w:r w:rsidRPr="00D32247">
        <w:lastRenderedPageBreak/>
        <w:t>Φορέας χρηματοδότησης της παρούσας σύμβασης είναι το Υπουργείο Περιβάλλοντος και Ενέργειας μέσω του Επιχειρησιακού Προγράμματος Υ.ΜΕ.ΠΕΡ.Α.Α.. Η δαπάνη για την εν λόγω σύμβαση βαρύνει τη ΣΑΕ 2022ΣΕ27510081 και την με Κ.Α.: 64.7341.037 σχετική πίστωση του τακτικού προϋπολογισμού του οικονομικού έτους 2023  του Φορέα .</w:t>
      </w:r>
      <w:r w:rsidRPr="00D32247">
        <w:footnoteReference w:id="10"/>
      </w:r>
      <w:r w:rsidRPr="00D32247">
        <w:t xml:space="preserve"> Η σύμβαση περιλαμβάνεται στο Υποέργο </w:t>
      </w:r>
      <w:proofErr w:type="spellStart"/>
      <w:r w:rsidRPr="00D32247">
        <w:t>Νο</w:t>
      </w:r>
      <w:proofErr w:type="spellEnd"/>
      <w:r w:rsidRPr="00D32247">
        <w:t xml:space="preserve"> 121 της Πράξης: «Βιώσιμη </w:t>
      </w:r>
      <w:proofErr w:type="spellStart"/>
      <w:r w:rsidRPr="00D32247">
        <w:t>μικροκινητικότητα</w:t>
      </w:r>
      <w:proofErr w:type="spellEnd"/>
      <w:r w:rsidRPr="00D32247">
        <w:t xml:space="preserve"> μέσω συστήματος κοινόχρηστων ποδηλάτων σε Δήμους της Χώρας (εκτός Δήμων Μητροπολιτικών Κέντρων))», η οποία έχει ενταχθεί στο Επιχειρησιακό Πρόγραμμα «ΥΠΟΔΟΜΕΣ ΜΕΤΑΦΟΡΩΝ, ΠΕΡΙΒΑΛΛΟΝ &amp; ΑΕΙΦΟΡΟΣ ΑΝΑΠΤΥΞΗ», με βάση την απόφαση ένταξης με αρ. </w:t>
      </w:r>
      <w:proofErr w:type="spellStart"/>
      <w:r w:rsidRPr="00D32247">
        <w:t>πρωτ</w:t>
      </w:r>
      <w:proofErr w:type="spellEnd"/>
      <w:r w:rsidRPr="00D32247">
        <w:t>. ΕΥΔ/ΕΠ ΥΜΕΠΕΡΑΑ 5074/16-05-2022 του Ειδικού Γραμματέα Διαχείρισης Τομεακών ΕΠ ΕΤΠΑ και ΤΣ και έχει λάβει Κωδικό ΟΠΣ 5163963.</w:t>
      </w:r>
    </w:p>
    <w:p w:rsidR="00D32247" w:rsidRPr="00D32247" w:rsidRDefault="00D32247" w:rsidP="00D32247">
      <w:r w:rsidRPr="00D32247">
        <w:t xml:space="preserve">Για την παρούσα διαδικασία έχει εκδοθεί η απόφαση με αρ. </w:t>
      </w:r>
      <w:proofErr w:type="spellStart"/>
      <w:r w:rsidRPr="00D32247">
        <w:t>πρωτ</w:t>
      </w:r>
      <w:proofErr w:type="spellEnd"/>
      <w:r w:rsidRPr="00D32247">
        <w:t xml:space="preserve">.  6831/07-04-2023 (ΑΔΑΜ 23REQ012474800, ΑΔΑ90ΝΠΩΛΗ-1ΝΙ) για την ανάληψη υποχρέωσης/έγκριση δέσμευσης πίστωσης για το οικονομικό έτος 2023 και έλαβε α/α 512 καταχώρησης  στο μητρώο δεσμεύσεων/Βιβλίο εγκρίσεων &amp; Εντολών Πληρωμής του Δήμου </w:t>
      </w:r>
      <w:proofErr w:type="spellStart"/>
      <w:r w:rsidRPr="00D32247">
        <w:t>Λεβαδέων</w:t>
      </w:r>
      <w:proofErr w:type="spellEnd"/>
      <w:r w:rsidRPr="00D32247">
        <w:footnoteReference w:id="11"/>
      </w:r>
      <w:r w:rsidRPr="00D32247">
        <w:t xml:space="preserve">. </w:t>
      </w:r>
    </w:p>
    <w:p w:rsidR="00D32247" w:rsidRPr="00D32247" w:rsidRDefault="00D32247" w:rsidP="00D32247">
      <w:pPr>
        <w:rPr>
          <w:rFonts w:eastAsia="Calibri"/>
        </w:rPr>
      </w:pPr>
      <w:r w:rsidRPr="00D32247">
        <w:t xml:space="preserve">Η παρούσα σύμβαση χρηματοδοτείται από Πιστώσεις του Προγράμματος Δημοσίων Επενδύσεων (Συλλογική Απόφαση Ένταξης, αριθ. </w:t>
      </w:r>
      <w:proofErr w:type="spellStart"/>
      <w:r w:rsidRPr="00D32247">
        <w:t>ενάριθμου</w:t>
      </w:r>
      <w:proofErr w:type="spellEnd"/>
      <w:r w:rsidRPr="00D32247">
        <w:t xml:space="preserve"> έργου 2022ΣΕ27510081), συγχρηματοδοτείται από την Ευρωπαϊκή Ένωση (Ταμείο Συνοχής) και ως εκ τούτου </w:t>
      </w:r>
      <w:r w:rsidRPr="00D32247">
        <w:rPr>
          <w:rFonts w:eastAsia="Calibri"/>
        </w:rPr>
        <w:t>η θετική γνώμη της ΕΥΔ Υ.ΜE.ΠΕΡ.Α.Α. ή η τεκμαιρόμενη θετική γνώμη για τη διαδικασία ανάθεσης της σύμβασης αποτελεί όρο για τη χρηματοδότηση της πράξης.</w:t>
      </w:r>
    </w:p>
    <w:p w:rsidR="00D32247" w:rsidRPr="00D32247" w:rsidRDefault="00D32247" w:rsidP="00D32247"/>
    <w:p w:rsidR="00D32247" w:rsidRPr="00D32247" w:rsidRDefault="00D32247" w:rsidP="00D32247">
      <w:bookmarkStart w:id="12" w:name="_Toc108094076"/>
      <w:r w:rsidRPr="00D32247">
        <w:t>1.3</w:t>
      </w:r>
      <w:r w:rsidRPr="00D32247">
        <w:tab/>
        <w:t>Συνοπτική Περιγραφή φυσικού και οικονομικού αντικειμένου της σύμβασης</w:t>
      </w:r>
      <w:bookmarkEnd w:id="12"/>
      <w:r w:rsidRPr="00D32247">
        <w:t xml:space="preserve"> </w:t>
      </w:r>
    </w:p>
    <w:p w:rsidR="00D32247" w:rsidRPr="00D32247" w:rsidRDefault="00D32247" w:rsidP="00D32247">
      <w:r w:rsidRPr="00D32247">
        <w:t xml:space="preserve">Αντικείμενο της σύμβασης  είναι η προμήθεια, εγκατάσταση, παραμετροποίηση και λειτουργία ενός ολοκληρωμένου συστήματος μίσθωσης ηλεκτρικών ποδηλάτων για τον Δήμο. </w:t>
      </w:r>
    </w:p>
    <w:p w:rsidR="00D32247" w:rsidRPr="00D32247" w:rsidRDefault="00D32247" w:rsidP="00D32247">
      <w:r w:rsidRPr="00D32247">
        <w:t>Το σύστημα θα επιτρέπει την αυτόματη μίσθωση ηλεκτρικών ποδηλάτων χωρίς την παρουσία προσωπικού. Πρόκειται για προμήθεια και εγκατάσταση ενός αυτοματοποιημένου ηλεκτρονικού συστήματος που θα δίδει στους πολίτες την ευχέρεια να παραλάβουν και να χρησιμοποιήσουν ένα ηλεκτρικό ποδήλατο για όσο χρόνο επιθυμούν, επιστρέφοντάς το σε κάποιο από τα σημεία στάθμευσης τα οποία θα είναι εγκατεστημένα σε επιλεγμένα σημεία του Δήμου.</w:t>
      </w:r>
    </w:p>
    <w:p w:rsidR="00D32247" w:rsidRPr="00D32247" w:rsidRDefault="00D32247" w:rsidP="00D32247">
      <w:r w:rsidRPr="00D32247">
        <w:lastRenderedPageBreak/>
        <w:t>Τα ποδήλατα θα τοποθετηθούν σε σταθμούς ενοικίασης και αυτόματης φόρτισής τους, οι οποίοι θα περιλαμβάνουν θέσεις κλειδώματος/φόρτισης και θα επιτρέπουν τη φόρτιση των ποδηλάτων όσο αυτά είναι κλειδωμένα στον σταθμό.</w:t>
      </w:r>
    </w:p>
    <w:p w:rsidR="00D32247" w:rsidRPr="00D32247" w:rsidRDefault="00D32247" w:rsidP="00D32247"/>
    <w:p w:rsidR="00D32247" w:rsidRPr="00D32247" w:rsidRDefault="00D32247" w:rsidP="00D32247">
      <w:r w:rsidRPr="00D32247">
        <w:t xml:space="preserve">Το έργο περιλαμβάνει εξοπλισμό, λογισμικό και υπηρεσίες. Τα προς προμήθεια είδη κατατάσσονται στους ακόλουθους κωδικούς του Κοινού Λεξιλογίου δημοσίων συμβάσεων (CPV) : </w:t>
      </w:r>
    </w:p>
    <w:p w:rsidR="00D32247" w:rsidRPr="00D32247" w:rsidRDefault="00D32247" w:rsidP="00D32247">
      <w:r w:rsidRPr="00D32247">
        <w:t>34430000-0 - Ποδήλατα</w:t>
      </w:r>
    </w:p>
    <w:p w:rsidR="00D32247" w:rsidRPr="00D32247" w:rsidRDefault="00D32247" w:rsidP="00D32247">
      <w:r w:rsidRPr="00D32247">
        <w:t>31681500-8 - Συσκευές φόρτισης</w:t>
      </w:r>
    </w:p>
    <w:p w:rsidR="00D32247" w:rsidRPr="00D32247" w:rsidRDefault="00D32247" w:rsidP="00D32247">
      <w:r w:rsidRPr="00D32247">
        <w:t>48781000-6 - Πακέτα λογισμικού διαχείρισης συστημάτων</w:t>
      </w:r>
    </w:p>
    <w:p w:rsidR="00D32247" w:rsidRPr="00D32247" w:rsidRDefault="00D32247" w:rsidP="00D32247">
      <w:r w:rsidRPr="00D32247">
        <w:t>32440000-9 - Τερματικά και εξοπλισμός τηλεμετρίας</w:t>
      </w:r>
    </w:p>
    <w:p w:rsidR="00D32247" w:rsidRPr="00D32247" w:rsidRDefault="00D32247" w:rsidP="00D32247">
      <w:r w:rsidRPr="00D32247">
        <w:t>51612000-5 - Υπηρεσίες εγκατάστασης εξοπλισμού επεξεργασίας πληροφοριών</w:t>
      </w:r>
    </w:p>
    <w:p w:rsidR="00D32247" w:rsidRPr="00D32247" w:rsidRDefault="00D32247" w:rsidP="00D32247">
      <w:r w:rsidRPr="00D32247">
        <w:t>80533100-0 - Υπηρεσίες εκπαίδευσης στον τομέα της πληροφορικής</w:t>
      </w:r>
    </w:p>
    <w:p w:rsidR="00D32247" w:rsidRPr="00D32247" w:rsidRDefault="00D32247" w:rsidP="00D32247">
      <w:r w:rsidRPr="00D32247">
        <w:t>72212421-6 - Υπηρεσίες ανάπτυξης λογισμικού διαχείρισης εγκαταστάσεων</w:t>
      </w:r>
    </w:p>
    <w:p w:rsidR="00D32247" w:rsidRPr="00D32247" w:rsidRDefault="00D32247" w:rsidP="00D32247">
      <w:r w:rsidRPr="00D32247">
        <w:t>71356300-1 - Υπηρεσίες τεχνικής υποστήριξης</w:t>
      </w:r>
    </w:p>
    <w:p w:rsidR="00D32247" w:rsidRPr="00D32247" w:rsidRDefault="00D32247" w:rsidP="00D32247">
      <w:r w:rsidRPr="00D32247">
        <w:t>79993100-2 - Υπηρεσίες διαχείρισης εγκαταστάσεων</w:t>
      </w:r>
    </w:p>
    <w:p w:rsidR="00D32247" w:rsidRPr="00D32247" w:rsidRDefault="00D32247" w:rsidP="00D32247">
      <w:r w:rsidRPr="00D32247">
        <w:t>50111100-7 - Υπηρεσίες διαχείρισης στόλου οχημάτων</w:t>
      </w:r>
    </w:p>
    <w:p w:rsidR="00D32247" w:rsidRPr="00D32247" w:rsidRDefault="00D32247" w:rsidP="00D32247">
      <w:r w:rsidRPr="00D32247">
        <w:t>79342200-5 - Υπηρεσίες προώθησης</w:t>
      </w:r>
    </w:p>
    <w:p w:rsidR="00D32247" w:rsidRPr="00D32247" w:rsidRDefault="00D32247" w:rsidP="00D32247">
      <w:r w:rsidRPr="00D32247">
        <w:t>79341400-0 - Υπηρεσίες διαφημιστικής εκστρατείας</w:t>
      </w:r>
    </w:p>
    <w:p w:rsidR="00D32247" w:rsidRPr="00D32247" w:rsidRDefault="00D32247" w:rsidP="00D32247"/>
    <w:p w:rsidR="00D32247" w:rsidRPr="00D32247" w:rsidRDefault="00D32247" w:rsidP="00D32247">
      <w:r w:rsidRPr="00D32247">
        <w:t xml:space="preserve">Η εκτιμώμενη αξία της σύμβασης ανέρχεται στο ποσό των 200.000,00 € μη συμπεριλαμβανομένου ΦΠΑ 24% </w:t>
      </w:r>
    </w:p>
    <w:p w:rsidR="00D32247" w:rsidRPr="00D32247" w:rsidRDefault="00D32247" w:rsidP="00D32247">
      <w:r w:rsidRPr="00D32247">
        <w:t>ΦΠΑ : 48.000,00 €</w:t>
      </w:r>
    </w:p>
    <w:p w:rsidR="00D32247" w:rsidRPr="00D32247" w:rsidRDefault="00D32247" w:rsidP="00D32247">
      <w:r w:rsidRPr="00D32247">
        <w:t>εκτιμώμενη αξία συμπεριλαμβανομένου ΦΠΑ: € 248.000,00</w:t>
      </w:r>
    </w:p>
    <w:p w:rsidR="00D32247" w:rsidRPr="00D32247" w:rsidRDefault="00D32247" w:rsidP="00D32247"/>
    <w:p w:rsidR="00D32247" w:rsidRPr="00D32247" w:rsidRDefault="00D32247" w:rsidP="00D32247">
      <w:r w:rsidRPr="00D32247">
        <w:t>Η διάρκεια της σύμβασης ορίζεται σε οκτώ (8) μήνες.</w:t>
      </w:r>
    </w:p>
    <w:p w:rsidR="00D32247" w:rsidRPr="00D32247" w:rsidRDefault="00D32247" w:rsidP="00D32247">
      <w:r w:rsidRPr="00D32247">
        <w:t xml:space="preserve">Αναλυτική περιγραφή του φυσικού και οικονομικού αντικειμένου της σύμβασης δίδεται στο ΠΑΡΑΡΤΗΜΑ Ι της παρούσας διακήρυξης. </w:t>
      </w:r>
    </w:p>
    <w:p w:rsidR="00D32247" w:rsidRPr="00D32247" w:rsidRDefault="00D32247" w:rsidP="00D32247">
      <w:r w:rsidRPr="00D32247">
        <w:t>Η σύμβαση θα ανατεθεί με το κριτήριο της πλέον συμφέρουσας από οικονομική άποψη προσφοράς, βάσει</w:t>
      </w:r>
      <w:r w:rsidRPr="00D32247">
        <w:footnoteReference w:id="12"/>
      </w:r>
      <w:r w:rsidRPr="00D32247">
        <w:t xml:space="preserve"> σχέση ποιότητας – τιμής.</w:t>
      </w:r>
    </w:p>
    <w:p w:rsidR="00D32247" w:rsidRPr="00D32247" w:rsidRDefault="00D32247" w:rsidP="00D32247">
      <w:bookmarkStart w:id="13" w:name="_Toc108094077"/>
      <w:r w:rsidRPr="00D32247">
        <w:t>1.4</w:t>
      </w:r>
      <w:r w:rsidRPr="00D32247">
        <w:tab/>
        <w:t>Θεσμικό πλαίσιο</w:t>
      </w:r>
      <w:bookmarkEnd w:id="13"/>
      <w:r w:rsidRPr="00D32247">
        <w:t xml:space="preserve"> </w:t>
      </w:r>
    </w:p>
    <w:p w:rsidR="00D32247" w:rsidRPr="00D32247" w:rsidRDefault="00D32247" w:rsidP="00D32247">
      <w:r w:rsidRPr="00D32247">
        <w:t xml:space="preserve">Η ανάθεση και εκτέλεση της σύμβασης διέπονται από την κείμενη νομοθεσία και τις </w:t>
      </w:r>
      <w:proofErr w:type="spellStart"/>
      <w:r w:rsidRPr="00D32247">
        <w:t>κατ΄</w:t>
      </w:r>
      <w:proofErr w:type="spellEnd"/>
      <w:r w:rsidRPr="00D32247">
        <w:t xml:space="preserve"> εξουσιοδότηση αυτής εκδοθείσες κανονιστικές πράξεις, όπως ισχύουν, και ιδίως</w:t>
      </w:r>
      <w:r w:rsidRPr="00D32247">
        <w:rPr>
          <w:rFonts w:eastAsia="Wingdings"/>
        </w:rPr>
        <w:footnoteReference w:id="13"/>
      </w:r>
      <w:r w:rsidRPr="00D32247">
        <w:t>:</w:t>
      </w:r>
    </w:p>
    <w:p w:rsidR="00D32247" w:rsidRPr="00D32247" w:rsidRDefault="00D32247" w:rsidP="00D32247">
      <w:r w:rsidRPr="00D32247">
        <w:t>του ν. 4412/2016 (Α’ 147) “Δημόσιες Συμβάσεις Έργων, Προμηθειών και Υπηρεσιών (προσαρμογή στις Οδηγίες 2014/24/ ΕΕ και 2014/25/ΕΕ)»</w:t>
      </w:r>
    </w:p>
    <w:p w:rsidR="00D32247" w:rsidRPr="00D32247" w:rsidRDefault="00D32247" w:rsidP="00D32247">
      <w:r w:rsidRPr="00D32247">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D32247" w:rsidRPr="00D32247" w:rsidRDefault="00D32247" w:rsidP="00D32247">
      <w:r w:rsidRPr="00D32247">
        <w:t xml:space="preserve">του ν. 4700/2020 (Α’ 127) «Ενιαίο κείμενο Δικονομίας για το Ελεγκτικό Συνέδριο, ολοκληρωμένο νομοθετικό πλαίσιο για τον </w:t>
      </w:r>
      <w:proofErr w:type="spellStart"/>
      <w:r w:rsidRPr="00D32247">
        <w:t>προσυμβατικό</w:t>
      </w:r>
      <w:proofErr w:type="spellEnd"/>
      <w:r w:rsidRPr="00D32247">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D32247" w:rsidRPr="00D32247" w:rsidRDefault="00D32247" w:rsidP="00D32247">
      <w:r w:rsidRPr="00D32247">
        <w:t xml:space="preserve">του ν. 4013/2011 (Α’ 204) «Σύσταση ενιαίας Ανεξάρτητης Αρχής Δημοσίων Συμβάσεων και Κεντρικού Ηλεκτρονικού Μητρώου Δημοσίων Συμβάσεων…», </w:t>
      </w:r>
    </w:p>
    <w:p w:rsidR="00D32247" w:rsidRPr="00D32247" w:rsidRDefault="00D32247" w:rsidP="00D32247">
      <w:r w:rsidRPr="00D32247">
        <w:t xml:space="preserve">του άρθρου 4 του </w:t>
      </w:r>
      <w:proofErr w:type="spellStart"/>
      <w:r w:rsidRPr="00D32247">
        <w:t>π.δ</w:t>
      </w:r>
      <w:proofErr w:type="spellEnd"/>
      <w:r w:rsidRPr="00D32247">
        <w:t>. 118/07 (Α’ 150)</w:t>
      </w:r>
    </w:p>
    <w:p w:rsidR="00D32247" w:rsidRPr="00D32247" w:rsidRDefault="00D32247" w:rsidP="00D32247">
      <w:r w:rsidRPr="00D32247">
        <w:lastRenderedPageBreak/>
        <w:t xml:space="preserve">του άρθρου 5 της απόφασης με </w:t>
      </w:r>
      <w:proofErr w:type="spellStart"/>
      <w:r w:rsidRPr="00D32247">
        <w:t>αριθμ</w:t>
      </w:r>
      <w:proofErr w:type="spellEnd"/>
      <w:r w:rsidRPr="00D32247">
        <w:t xml:space="preserve">. 11389/1993 (Β΄ 185) του Υπουργού Εσωτερικών </w:t>
      </w:r>
    </w:p>
    <w:p w:rsidR="00D32247" w:rsidRPr="00D32247" w:rsidRDefault="00D32247" w:rsidP="00D32247">
      <w:r w:rsidRPr="00D32247">
        <w:t xml:space="preserve">του ν. 3548/2007 (Α’ 68) «Καταχώριση δημοσιεύσεων των φορέων του Δημοσίου στο νομαρχιακό και τοπικό Τύπο και άλλες διατάξεις»,  </w:t>
      </w:r>
    </w:p>
    <w:p w:rsidR="00D32247" w:rsidRPr="00D32247" w:rsidRDefault="00D32247" w:rsidP="00D32247">
      <w:r w:rsidRPr="00D32247">
        <w:t>του ν. 4601/2019 (Α’ 44) «Εταιρικοί µ</w:t>
      </w:r>
      <w:proofErr w:type="spellStart"/>
      <w:r w:rsidRPr="00D32247">
        <w:t>ετασχηµατισµοί</w:t>
      </w:r>
      <w:proofErr w:type="spellEnd"/>
      <w:r w:rsidRPr="00D32247">
        <w:t xml:space="preserve"> και </w:t>
      </w:r>
      <w:proofErr w:type="spellStart"/>
      <w:r w:rsidRPr="00D32247">
        <w:t>εναρµόνιση</w:t>
      </w:r>
      <w:proofErr w:type="spellEnd"/>
      <w:r w:rsidRPr="00D32247">
        <w:t xml:space="preserve"> του </w:t>
      </w:r>
      <w:proofErr w:type="spellStart"/>
      <w:r w:rsidRPr="00D32247">
        <w:t>νοµοθετικού</w:t>
      </w:r>
      <w:proofErr w:type="spellEnd"/>
      <w:r w:rsidRPr="00D32247">
        <w:t xml:space="preserve"> πλαισίου µε τις διατάξεις της Οδηγίας 2014/55/ΕΕ του Ευρωπαϊκού Κοινοβουλίου και του </w:t>
      </w:r>
      <w:proofErr w:type="spellStart"/>
      <w:r w:rsidRPr="00D32247">
        <w:t>Συµβουλίου</w:t>
      </w:r>
      <w:proofErr w:type="spellEnd"/>
      <w:r w:rsidRPr="00D32247">
        <w:t xml:space="preserve"> της 16ης Απριλίου 2014 για την έκδοση ηλεκτρονικών </w:t>
      </w:r>
      <w:proofErr w:type="spellStart"/>
      <w:r w:rsidRPr="00D32247">
        <w:t>τιµολογίων</w:t>
      </w:r>
      <w:proofErr w:type="spellEnd"/>
      <w:r w:rsidRPr="00D32247">
        <w:t xml:space="preserve"> στο πλαίσιο </w:t>
      </w:r>
      <w:proofErr w:type="spellStart"/>
      <w:r w:rsidRPr="00D32247">
        <w:t>δηµόσιων</w:t>
      </w:r>
      <w:proofErr w:type="spellEnd"/>
      <w:r w:rsidRPr="00D32247">
        <w:t xml:space="preserve"> </w:t>
      </w:r>
      <w:proofErr w:type="spellStart"/>
      <w:r w:rsidRPr="00D32247">
        <w:t>συµβάσεων</w:t>
      </w:r>
      <w:proofErr w:type="spellEnd"/>
      <w:r w:rsidRPr="00D32247">
        <w:t xml:space="preserve"> και λοιπές διατάξεις»</w:t>
      </w:r>
    </w:p>
    <w:p w:rsidR="00D32247" w:rsidRPr="00D32247" w:rsidRDefault="00D32247" w:rsidP="00D32247">
      <w:r w:rsidRPr="00D32247">
        <w:t xml:space="preserve">του </w:t>
      </w:r>
      <w:proofErr w:type="spellStart"/>
      <w:r w:rsidRPr="00D32247">
        <w:t>π.δ</w:t>
      </w:r>
      <w:proofErr w:type="spellEnd"/>
      <w:r w:rsidRPr="00D32247">
        <w:t>. 39/2017 (Α’ 64) «Κανονισμός εξέτασης προδικαστικών προσφυγών ενώπιων της Α.Ε.Π.Π.»</w:t>
      </w:r>
    </w:p>
    <w:p w:rsidR="00D32247" w:rsidRPr="00D32247" w:rsidRDefault="00D32247" w:rsidP="00D32247">
      <w:r w:rsidRPr="00D32247">
        <w:t xml:space="preserve">της υπ' </w:t>
      </w:r>
      <w:proofErr w:type="spellStart"/>
      <w:r w:rsidRPr="00D32247">
        <w:t>αριθμ</w:t>
      </w:r>
      <w:proofErr w:type="spellEnd"/>
      <w:r w:rsidRPr="00D32247">
        <w:t xml:space="preserve">.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D32247" w:rsidRPr="00D32247" w:rsidRDefault="00D32247" w:rsidP="00D32247">
      <w:r w:rsidRPr="00D32247">
        <w:t xml:space="preserve">της </w:t>
      </w:r>
      <w:proofErr w:type="spellStart"/>
      <w:r w:rsidRPr="00D32247">
        <w:t>υπ΄αριθμ</w:t>
      </w:r>
      <w:proofErr w:type="spellEnd"/>
      <w:r w:rsidRPr="00D32247">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D32247" w:rsidRPr="00D32247" w:rsidRDefault="00D32247" w:rsidP="00D32247">
      <w:r w:rsidRPr="00D32247">
        <w:t xml:space="preserve"> της </w:t>
      </w:r>
      <w:proofErr w:type="spellStart"/>
      <w:r w:rsidRPr="00D32247">
        <w:t>αριθμ</w:t>
      </w:r>
      <w:proofErr w:type="spellEnd"/>
      <w:r w:rsidRPr="00D32247">
        <w:t>. Κ.Υ.Α. οικ. 60967 ΕΞ 2020 (B’ 2425/18.06.2020) «Ηλεκτρονική Τιμολόγηση στο πλαίσιο των Δημόσιων Συμβάσεων δυνάμει του ν. 4601/2019» (Α΄44)</w:t>
      </w:r>
    </w:p>
    <w:p w:rsidR="00D32247" w:rsidRPr="00D32247" w:rsidRDefault="00D32247" w:rsidP="00D32247">
      <w:r w:rsidRPr="00D32247">
        <w:t xml:space="preserve">της </w:t>
      </w:r>
      <w:proofErr w:type="spellStart"/>
      <w:r w:rsidRPr="00D32247">
        <w:t>αριθμ</w:t>
      </w:r>
      <w:proofErr w:type="spellEnd"/>
      <w:r w:rsidRPr="00D32247">
        <w:t xml:space="preserve">. 63446/2021 Κ.Υ.Α. (B’ 2338/02.06.2020) «Καθορισμός Εθνικού </w:t>
      </w:r>
      <w:proofErr w:type="spellStart"/>
      <w:r w:rsidRPr="00D32247">
        <w:t>Μορφότυπου</w:t>
      </w:r>
      <w:proofErr w:type="spellEnd"/>
      <w:r w:rsidRPr="00D32247">
        <w:t xml:space="preserve"> ηλεκτρονικού τιμολογίου στο πλαίσιο των Δημοσίων Συμβάσεων».</w:t>
      </w:r>
    </w:p>
    <w:p w:rsidR="00D32247" w:rsidRPr="00D32247" w:rsidRDefault="00D32247" w:rsidP="00D32247">
      <w:r w:rsidRPr="00D32247">
        <w:t>του ν. 3419/2005 (Α’ 297) «Γενικό Εμπορικό Μητρώο (Γ.Ε.ΜΗ.) και εκσυγχρονισμός της Επιμελητηριακής Νομοθεσίας»</w:t>
      </w:r>
    </w:p>
    <w:p w:rsidR="00D32247" w:rsidRPr="00D32247" w:rsidRDefault="00D32247" w:rsidP="00D32247">
      <w:r w:rsidRPr="00D32247">
        <w:t xml:space="preserve">του ν. 4635/2019 (Α’167) « Επενδύω στην Ελλάδα και άλλες διατάξεις» και ιδίως  των άρθρων 85 </w:t>
      </w:r>
      <w:proofErr w:type="spellStart"/>
      <w:r w:rsidRPr="00D32247">
        <w:t>επ</w:t>
      </w:r>
      <w:proofErr w:type="spellEnd"/>
      <w:r w:rsidRPr="00D32247">
        <w:t>.</w:t>
      </w:r>
    </w:p>
    <w:p w:rsidR="00D32247" w:rsidRPr="00D32247" w:rsidRDefault="00D32247" w:rsidP="00D32247">
      <w:r w:rsidRPr="00D32247">
        <w:t>του ν. 4270/2014 (Α’ 143) «Αρχές δημοσιονομικής διαχείρισης και εποπτείας (ενσωμάτωση της Οδηγίας 2011/85/ΕΕ) – δημόσιο λογιστικό και άλλες διατάξεις»</w:t>
      </w:r>
    </w:p>
    <w:p w:rsidR="00D32247" w:rsidRPr="00D32247" w:rsidRDefault="00D32247" w:rsidP="00D32247">
      <w:r w:rsidRPr="00D32247">
        <w:t xml:space="preserve">του </w:t>
      </w:r>
      <w:proofErr w:type="spellStart"/>
      <w:r w:rsidRPr="00D32247">
        <w:t>π.δ</w:t>
      </w:r>
      <w:proofErr w:type="spellEnd"/>
      <w:r w:rsidRPr="00D32247">
        <w:t xml:space="preserve">. 80/2016 (Α’ 145) «Ανάληψη υποχρεώσεων από τους </w:t>
      </w:r>
      <w:proofErr w:type="spellStart"/>
      <w:r w:rsidRPr="00D32247">
        <w:t>Διατάκτες</w:t>
      </w:r>
      <w:proofErr w:type="spellEnd"/>
      <w:r w:rsidRPr="00D32247">
        <w:t>»</w:t>
      </w:r>
    </w:p>
    <w:p w:rsidR="00D32247" w:rsidRPr="00D32247" w:rsidRDefault="00D32247" w:rsidP="00D32247">
      <w:r w:rsidRPr="00D32247">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D32247" w:rsidRPr="00D32247" w:rsidRDefault="00D32247" w:rsidP="00D32247">
      <w:r w:rsidRPr="00D32247">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D32247" w:rsidRPr="00D32247" w:rsidRDefault="00D32247" w:rsidP="00D32247">
      <w:r w:rsidRPr="00D32247">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D32247" w:rsidRPr="00D32247" w:rsidRDefault="00D32247" w:rsidP="00D32247">
      <w:r w:rsidRPr="00D32247">
        <w:t xml:space="preserve">του </w:t>
      </w:r>
      <w:proofErr w:type="spellStart"/>
      <w:r w:rsidRPr="00D32247">
        <w:t>π.δ</w:t>
      </w:r>
      <w:proofErr w:type="spellEnd"/>
      <w:r w:rsidRPr="00D32247">
        <w:t xml:space="preserve"> 28/2015 (Α’ 34) «Κωδικοποίηση διατάξεων για την πρόσβαση σε δημόσια έγγραφα και στοιχεία», </w:t>
      </w:r>
    </w:p>
    <w:p w:rsidR="00D32247" w:rsidRPr="00D32247" w:rsidRDefault="00D32247" w:rsidP="00D32247">
      <w:r w:rsidRPr="00D32247">
        <w:t xml:space="preserve">του ν. 2859/2000 (Α’ 248) «Κύρωση Κώδικα Φόρου Προστιθέμενης Αξίας», </w:t>
      </w:r>
    </w:p>
    <w:p w:rsidR="00D32247" w:rsidRPr="00D32247" w:rsidRDefault="00D32247" w:rsidP="00D32247">
      <w:r w:rsidRPr="00D32247">
        <w:t>του ν.2690/1999 (Α’ 45) «Κύρωση του Κώδικα Διοικητικής Διαδικασίας και άλλες διατάξεις»  και ιδίως των άρθρων 1,2, 7, 11 και 13 έως 15,</w:t>
      </w:r>
    </w:p>
    <w:p w:rsidR="00D32247" w:rsidRPr="00D32247" w:rsidRDefault="00D32247" w:rsidP="00D32247">
      <w:r w:rsidRPr="00D32247">
        <w:t xml:space="preserve">του ν. 2121/1993 (Α’ 25) «Πνευματική Ιδιοκτησία, Συγγενικά Δικαιώματα και Πολιτιστικά Θέματα», </w:t>
      </w:r>
    </w:p>
    <w:p w:rsidR="00D32247" w:rsidRPr="00D32247" w:rsidRDefault="00D32247" w:rsidP="00D32247">
      <w:r w:rsidRPr="00D32247">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D32247" w:rsidRPr="00D32247" w:rsidRDefault="00D32247" w:rsidP="00D32247">
      <w:r w:rsidRPr="00D32247">
        <w:lastRenderedPageBreak/>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32247" w:rsidRPr="00D32247" w:rsidRDefault="00D32247" w:rsidP="00D32247">
      <w:r w:rsidRPr="00D32247">
        <w:t>του ν. 4912/2022 «Ενιαία Αρχή Δημοσίων Συμβάσεων και άλλες διατάξεις του Υπουργείου Δικαιοσύνης» (ΦΕΚ Α΄ 59/17.03.2022),</w:t>
      </w:r>
    </w:p>
    <w:p w:rsidR="00D32247" w:rsidRPr="00D32247" w:rsidRDefault="00D32247" w:rsidP="00D32247">
      <w:r w:rsidRPr="00D32247">
        <w:t xml:space="preserve">των σε εκτέλεση των ανωτέρω νόμων </w:t>
      </w:r>
      <w:proofErr w:type="spellStart"/>
      <w:r w:rsidRPr="00D32247">
        <w:t>εκδοθεισών</w:t>
      </w:r>
      <w:proofErr w:type="spellEnd"/>
      <w:r w:rsidRPr="00D32247">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D32247" w:rsidRPr="00D32247" w:rsidRDefault="00D32247" w:rsidP="00D32247">
      <w:r w:rsidRPr="00D32247">
        <w:t xml:space="preserve">Τις πιστώσεις που έχουν εγγραφεί στον εγκεκριμένο προϋπολογισμό εξόδων του Δήμου </w:t>
      </w:r>
      <w:proofErr w:type="spellStart"/>
      <w:r w:rsidRPr="00D32247">
        <w:t>Λεβαδέων</w:t>
      </w:r>
      <w:proofErr w:type="spellEnd"/>
      <w:r w:rsidRPr="00D32247">
        <w:t xml:space="preserve"> έτους 2023 (Κ.Α: 64.7341.037),</w:t>
      </w:r>
    </w:p>
    <w:p w:rsidR="00D32247" w:rsidRPr="00D32247" w:rsidRDefault="00D32247" w:rsidP="00D32247">
      <w:r w:rsidRPr="00D32247">
        <w:t xml:space="preserve">Την υπ’ αρ. 1/2022 μελέτη της Διεύθυνσης Περιβάλλοντος, καθαριότητας και πρασίνου του Δήμου </w:t>
      </w:r>
      <w:proofErr w:type="spellStart"/>
      <w:r w:rsidRPr="00D32247">
        <w:t>Λεβαδέων</w:t>
      </w:r>
      <w:proofErr w:type="spellEnd"/>
      <w:r w:rsidRPr="00D32247">
        <w:t>,</w:t>
      </w:r>
    </w:p>
    <w:p w:rsidR="00D32247" w:rsidRPr="00D32247" w:rsidRDefault="00D32247" w:rsidP="00D32247">
      <w:r w:rsidRPr="00D32247">
        <w:t xml:space="preserve">Την υπ’ </w:t>
      </w:r>
      <w:proofErr w:type="spellStart"/>
      <w:r w:rsidRPr="00D32247">
        <w:t>αριθμ</w:t>
      </w:r>
      <w:proofErr w:type="spellEnd"/>
      <w:r w:rsidRPr="00D32247">
        <w:t xml:space="preserve">. 5/2022 απόφασης της Οικονομικής Επιτροπής του Δήμου </w:t>
      </w:r>
      <w:proofErr w:type="spellStart"/>
      <w:r w:rsidRPr="00D32247">
        <w:t>Λεβαδέων</w:t>
      </w:r>
      <w:proofErr w:type="spellEnd"/>
      <w:r w:rsidRPr="00D32247">
        <w:t xml:space="preserve"> περί έγκρισης Τεχνικών Προδιαγραφών για «Προμήθεια, εγκατάσταση, παραμετροποίηση και λειτουργία ενός ολοκληρωμένου συστήματος μίσθωσης ηλεκτρικών ποδηλάτων για τον Δήμο.</w:t>
      </w:r>
    </w:p>
    <w:p w:rsidR="00D32247" w:rsidRPr="00D32247" w:rsidRDefault="00D32247" w:rsidP="00D32247">
      <w:r w:rsidRPr="00D32247">
        <w:t>Η υπ’ αριθ. 3421/29-03-2023 Απόφαση της ΕΥΔ ΕΠ ΥΜΕΠΕΡΑΑ για την προέγκριση δημοπράτησης της σύμβασης</w:t>
      </w:r>
    </w:p>
    <w:p w:rsidR="00D32247" w:rsidRPr="00D32247" w:rsidRDefault="00D32247" w:rsidP="00D32247"/>
    <w:p w:rsidR="00D32247" w:rsidRPr="00D32247" w:rsidRDefault="00D32247" w:rsidP="00D32247">
      <w:bookmarkStart w:id="14" w:name="_Toc108094078"/>
      <w:r w:rsidRPr="00D32247">
        <w:t>1.5</w:t>
      </w:r>
      <w:r w:rsidRPr="00D32247">
        <w:tab/>
        <w:t>Προθεσμία παραλαβής προσφορών</w:t>
      </w:r>
      <w:bookmarkEnd w:id="14"/>
      <w:r w:rsidRPr="00D32247">
        <w:t xml:space="preserve"> </w:t>
      </w:r>
    </w:p>
    <w:p w:rsidR="00D32247" w:rsidRPr="00D32247" w:rsidRDefault="00D32247" w:rsidP="00D32247">
      <w:r w:rsidRPr="00D32247">
        <w:t xml:space="preserve">Η καταληκτική ημερομηνία παραλαβής των προσφορών </w:t>
      </w:r>
      <w:r w:rsidRPr="00D32247">
        <w:rPr>
          <w:highlight w:val="yellow"/>
        </w:rPr>
        <w:t>είναι η ΧΧ/ΧΧ/2023 και ώρα ΧΧ:ΧΧ.</w:t>
      </w:r>
      <w:r w:rsidRPr="00D32247">
        <w:rPr>
          <w:highlight w:val="yellow"/>
        </w:rPr>
        <w:footnoteReference w:id="14"/>
      </w:r>
    </w:p>
    <w:p w:rsidR="00D32247" w:rsidRPr="00D32247" w:rsidRDefault="00D32247" w:rsidP="00D32247">
      <w:r w:rsidRPr="00D32247">
        <w:t xml:space="preserve">Η διαδικασία θα διενεργηθεί με χρήση της πλατφόρμας του Εθνικού Συστήματος Ηλεκτρονικών Δημοσίων Συμβάσεων (Ε.Σ.Η.Δ.Η.Σ.), η οποία είναι </w:t>
      </w:r>
      <w:proofErr w:type="spellStart"/>
      <w:r w:rsidRPr="00D32247">
        <w:t>προσβάσιμη</w:t>
      </w:r>
      <w:proofErr w:type="spellEnd"/>
      <w:r w:rsidRPr="00D32247">
        <w:t xml:space="preserve"> μέσω της Διαδικτυακής πύλης </w:t>
      </w:r>
      <w:hyperlink r:id="rId8" w:history="1">
        <w:r w:rsidRPr="00D32247">
          <w:t>www.promitheus.gov.gr</w:t>
        </w:r>
      </w:hyperlink>
      <w:r w:rsidRPr="00D32247">
        <w:t xml:space="preserve"> , από την ημερομηνία δημοσίευσης της διακήρυξης </w:t>
      </w:r>
      <w:r w:rsidRPr="00D32247">
        <w:rPr>
          <w:highlight w:val="yellow"/>
        </w:rPr>
        <w:t>στις ΧΧ/Χ/2023, ημέρα ΧΧΧΧ</w:t>
      </w:r>
      <w:r w:rsidRPr="00D32247">
        <w:t xml:space="preserve"> </w:t>
      </w:r>
      <w:r w:rsidRPr="00D32247">
        <w:rPr>
          <w:highlight w:val="yellow"/>
        </w:rPr>
        <w:t xml:space="preserve">και η υποβολή των προσφορών θα ξεκινήσει στις ΧΧ/ΧΧ/2023 και ώρα ΧΧ:ΧΧ </w:t>
      </w:r>
      <w:proofErr w:type="spellStart"/>
      <w:r w:rsidRPr="00D32247">
        <w:rPr>
          <w:highlight w:val="yellow"/>
        </w:rPr>
        <w:t>π.μ</w:t>
      </w:r>
      <w:proofErr w:type="spellEnd"/>
      <w:r w:rsidRPr="00D32247">
        <w:rPr>
          <w:highlight w:val="yellow"/>
        </w:rPr>
        <w:t>.</w:t>
      </w:r>
    </w:p>
    <w:p w:rsidR="00D32247" w:rsidRPr="00D32247" w:rsidRDefault="00D32247" w:rsidP="00D32247"/>
    <w:p w:rsidR="00D32247" w:rsidRPr="00D32247" w:rsidRDefault="00D32247" w:rsidP="00D32247">
      <w:bookmarkStart w:id="15" w:name="_Toc108094079"/>
      <w:r w:rsidRPr="00D32247">
        <w:t>1.6</w:t>
      </w:r>
      <w:r w:rsidRPr="00D32247">
        <w:tab/>
        <w:t>Δημοσιότητα</w:t>
      </w:r>
      <w:bookmarkEnd w:id="15"/>
    </w:p>
    <w:p w:rsidR="00D32247" w:rsidRPr="00D32247" w:rsidRDefault="00D32247" w:rsidP="00D32247">
      <w:r w:rsidRPr="00D32247">
        <w:t>Α.</w:t>
      </w:r>
      <w:r w:rsidRPr="00D32247">
        <w:tab/>
        <w:t>Δημοσίευση στην Επίσημη Εφημερίδα της Ευρωπαϊκής Ένωσης</w:t>
      </w:r>
      <w:r w:rsidRPr="00D32247">
        <w:footnoteReference w:id="15"/>
      </w:r>
      <w:r w:rsidRPr="00D32247">
        <w:t xml:space="preserve"> </w:t>
      </w:r>
    </w:p>
    <w:p w:rsidR="00D32247" w:rsidRPr="00D32247" w:rsidRDefault="00D32247" w:rsidP="00D32247">
      <w:r w:rsidRPr="00D32247">
        <w:t>Προκήρυξη</w:t>
      </w:r>
      <w:r w:rsidRPr="00D32247">
        <w:footnoteReference w:id="16"/>
      </w:r>
      <w:r w:rsidRPr="00D32247">
        <w:t xml:space="preserve"> της παρούσας σύμβασης απεστάλη με ηλεκτρονικά μέσα για δημοσίευση στις </w:t>
      </w:r>
      <w:r w:rsidRPr="00D32247">
        <w:rPr>
          <w:highlight w:val="yellow"/>
        </w:rPr>
        <w:t xml:space="preserve">……/………/……... </w:t>
      </w:r>
      <w:r w:rsidRPr="00D32247">
        <w:t xml:space="preserve">στην Υπηρεσία Εκδόσεων της Ευρωπαϊκής Ένωσης. </w:t>
      </w:r>
    </w:p>
    <w:p w:rsidR="00D32247" w:rsidRPr="00D32247" w:rsidRDefault="00D32247" w:rsidP="00D32247">
      <w:r w:rsidRPr="00D32247">
        <w:t xml:space="preserve">Β. </w:t>
      </w:r>
      <w:r w:rsidRPr="00D32247">
        <w:tab/>
        <w:t xml:space="preserve">Δημοσίευση σε εθνικό επίπεδο </w:t>
      </w:r>
      <w:r w:rsidRPr="00D32247">
        <w:footnoteReference w:id="17"/>
      </w:r>
    </w:p>
    <w:p w:rsidR="00D32247" w:rsidRPr="00D32247" w:rsidRDefault="00D32247" w:rsidP="00D32247">
      <w:r w:rsidRPr="00D32247">
        <w:lastRenderedPageBreak/>
        <w:t>Η προκήρυξη</w:t>
      </w:r>
      <w:r w:rsidRPr="00D32247">
        <w:footnoteReference w:id="18"/>
      </w:r>
      <w:r w:rsidRPr="00D32247">
        <w:t xml:space="preserve"> και το πλήρες κείμενο της παρούσας Διακήρυξης καταχωρήθηκαν στο Κεντρικό Ηλεκτρονικό Μητρώο Δημοσίων Συμβάσεων (ΚΗΜΔΗΣ). </w:t>
      </w:r>
    </w:p>
    <w:p w:rsidR="00D32247" w:rsidRPr="00D32247" w:rsidRDefault="00D32247" w:rsidP="00D32247">
      <w:r w:rsidRPr="00D32247">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D32247">
        <w:t>Συστημικό</w:t>
      </w:r>
      <w:proofErr w:type="spellEnd"/>
      <w:r w:rsidRPr="00D32247">
        <w:t xml:space="preserve"> </w:t>
      </w:r>
      <w:r w:rsidRPr="00D32247">
        <w:rPr>
          <w:highlight w:val="yellow"/>
        </w:rPr>
        <w:t>Αύξοντα Αριθμό:  ΧΧΧΧ</w:t>
      </w:r>
      <w:r w:rsidRPr="00D32247">
        <w:t xml:space="preserve"> και αναρτήθηκαν στη Διαδικτυακή Πύλη (</w:t>
      </w:r>
      <w:proofErr w:type="spellStart"/>
      <w:r w:rsidRPr="00D32247">
        <w:t>www.promitheus.gov.gr</w:t>
      </w:r>
      <w:proofErr w:type="spellEnd"/>
      <w:r w:rsidRPr="00D32247">
        <w:t xml:space="preserve">) του ΟΠΣ ΕΣΗΔΗΣ. </w:t>
      </w:r>
    </w:p>
    <w:p w:rsidR="00D32247" w:rsidRPr="00D32247" w:rsidRDefault="00D32247" w:rsidP="00D32247">
      <w:r w:rsidRPr="00D32247">
        <w:t>Περίληψη της παρούσας Διακήρυξης δημοσιεύεται και στον Ελληνικό Τύπο</w:t>
      </w:r>
      <w:r w:rsidRPr="00D32247">
        <w:footnoteReference w:id="19"/>
      </w:r>
      <w:r w:rsidRPr="00D32247">
        <w:t xml:space="preserve"> </w:t>
      </w:r>
      <w:r w:rsidRPr="00D32247">
        <w:footnoteReference w:id="20"/>
      </w:r>
      <w:r w:rsidRPr="00D32247">
        <w:t xml:space="preserve"> </w:t>
      </w:r>
      <w:r w:rsidRPr="00D32247">
        <w:footnoteReference w:id="21"/>
      </w:r>
      <w:r w:rsidRPr="00D32247">
        <w:t xml:space="preserve">, σύμφωνα με το άρθρο 66 του Ν. 4412/2016. : </w:t>
      </w:r>
    </w:p>
    <w:p w:rsidR="00D32247" w:rsidRPr="00D32247" w:rsidRDefault="00D32247" w:rsidP="00D32247">
      <w:r w:rsidRPr="00D32247">
        <w:t>Εφημερίδα ΔΙΑΒΗΜΑ (εβδομαδιαία)</w:t>
      </w:r>
    </w:p>
    <w:p w:rsidR="00D32247" w:rsidRPr="00D32247" w:rsidRDefault="00D32247" w:rsidP="00D32247">
      <w:r w:rsidRPr="00D32247">
        <w:t>Εφημερίδα ΝΕΑ ΤΗΣ ΒΟΙΩΤΙΑΣ (καθημερινή)</w:t>
      </w:r>
    </w:p>
    <w:p w:rsidR="00D32247" w:rsidRPr="00D32247" w:rsidRDefault="00D32247" w:rsidP="00D32247">
      <w:r w:rsidRPr="00D32247">
        <w:t xml:space="preserve">Εφημερίδα ΣΚΥΤΑΛΗ (καθημερινή) </w:t>
      </w:r>
    </w:p>
    <w:p w:rsidR="00D32247" w:rsidRPr="00D32247" w:rsidRDefault="00D32247" w:rsidP="00D32247"/>
    <w:p w:rsidR="00D32247" w:rsidRPr="00D32247" w:rsidRDefault="00D32247" w:rsidP="00D32247">
      <w:r w:rsidRPr="00D32247">
        <w:t xml:space="preserve">Περίληψη της παρούσας Διακήρυξης όπως προβλέπεται στην περίπτωση (ιστ) της παραγράφου 3 του άρθρου 76 του Ν.4727/2020, αναρτήθηκε στο διαδίκτυο, στον </w:t>
      </w:r>
      <w:proofErr w:type="spellStart"/>
      <w:r w:rsidRPr="00D32247">
        <w:t>ιστότοπο</w:t>
      </w:r>
      <w:proofErr w:type="spellEnd"/>
      <w:r w:rsidRPr="00D32247">
        <w:t xml:space="preserve"> </w:t>
      </w:r>
      <w:hyperlink r:id="rId9" w:history="1">
        <w:r w:rsidRPr="00D32247">
          <w:t>http://et.diavgeia.gov.gr/</w:t>
        </w:r>
      </w:hyperlink>
      <w:r w:rsidRPr="00D32247">
        <w:t xml:space="preserve"> (ΠΡΟΓΡΑΜΜΑ ΔΙΑΥΓΕΙΑ). </w:t>
      </w:r>
      <w:hyperlink r:id="rId10" w:history="1"/>
      <w:r w:rsidRPr="00D32247">
        <w:t xml:space="preserve"> </w:t>
      </w:r>
    </w:p>
    <w:p w:rsidR="00D32247" w:rsidRPr="00D32247" w:rsidRDefault="00D32247" w:rsidP="00D32247">
      <w:r w:rsidRPr="00D32247">
        <w:t xml:space="preserve">Η Διακήρυξη καταχωρήθηκε στο διαδίκτυο, στην ιστοσελίδα της αναθέτουσας αρχής, στη διεύθυνση (URL):   </w:t>
      </w:r>
      <w:hyperlink r:id="rId11" w:history="1">
        <w:r w:rsidRPr="00D32247">
          <w:t>www.dimoslevadeon.gr</w:t>
        </w:r>
      </w:hyperlink>
      <w:r w:rsidRPr="00D32247">
        <w:t xml:space="preserve"> στη διαδρομή: Αρχική ► Γραφείο Τύπου ► Διακηρύξεις - Διαγωνισμοί, </w:t>
      </w:r>
      <w:r w:rsidRPr="00D32247">
        <w:rPr>
          <w:highlight w:val="yellow"/>
        </w:rPr>
        <w:t>στις …../..…/……..…..</w:t>
      </w:r>
      <w:r w:rsidRPr="00D32247">
        <w:t xml:space="preserve">  </w:t>
      </w:r>
    </w:p>
    <w:p w:rsidR="00D32247" w:rsidRPr="00D32247" w:rsidRDefault="00D32247" w:rsidP="00D32247">
      <w:pPr>
        <w:rPr>
          <w:rFonts w:eastAsia="ArialMT"/>
        </w:rPr>
      </w:pPr>
      <w:r w:rsidRPr="00D32247">
        <w:t>Γ.</w:t>
      </w:r>
      <w:r w:rsidRPr="00D32247">
        <w:tab/>
        <w:t>Έξοδα δημοσιεύσεων</w:t>
      </w:r>
    </w:p>
    <w:p w:rsidR="00D32247" w:rsidRPr="00D32247" w:rsidRDefault="00D32247" w:rsidP="00D32247">
      <w:r w:rsidRPr="00D32247">
        <w:rPr>
          <w:rFonts w:eastAsia="ArialMT"/>
        </w:rPr>
        <w:t xml:space="preserve">Η δαπάνη των δημοσιεύσεων </w:t>
      </w:r>
      <w:r w:rsidRPr="00D32247">
        <w:t xml:space="preserve">στον Ελληνικό Τύπο </w:t>
      </w:r>
      <w:r w:rsidRPr="00D32247">
        <w:rPr>
          <w:rFonts w:eastAsia="ArialMT"/>
        </w:rPr>
        <w:t>βαρύνει τον Ανάδοχο</w:t>
      </w:r>
    </w:p>
    <w:p w:rsidR="00D32247" w:rsidRPr="00D32247" w:rsidRDefault="00D32247" w:rsidP="00D32247"/>
    <w:p w:rsidR="00D32247" w:rsidRPr="00D32247" w:rsidRDefault="00D32247" w:rsidP="00D32247">
      <w:bookmarkStart w:id="17" w:name="_Toc108094080"/>
      <w:r w:rsidRPr="00D32247">
        <w:t>1.7</w:t>
      </w:r>
      <w:r w:rsidRPr="00D32247">
        <w:tab/>
        <w:t>Αρχές εφαρμοζόμενες στη διαδικασία σύναψης</w:t>
      </w:r>
      <w:bookmarkEnd w:id="17"/>
      <w:r w:rsidRPr="00D32247">
        <w:t xml:space="preserve"> </w:t>
      </w:r>
    </w:p>
    <w:p w:rsidR="00D32247" w:rsidRPr="00D32247" w:rsidRDefault="00D32247" w:rsidP="00D32247">
      <w:r w:rsidRPr="00D32247">
        <w:t>Οι οικονομικοί φορείς δεσμεύονται ότι:</w:t>
      </w:r>
    </w:p>
    <w:p w:rsidR="00D32247" w:rsidRPr="00D32247" w:rsidRDefault="00D32247" w:rsidP="00D32247">
      <w:r w:rsidRPr="00D32247">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D32247">
        <w:footnoteReference w:id="22"/>
      </w:r>
      <w:r w:rsidRPr="00D32247">
        <w:t xml:space="preserve"> </w:t>
      </w:r>
    </w:p>
    <w:p w:rsidR="00D32247" w:rsidRPr="00D32247" w:rsidRDefault="00D32247" w:rsidP="00D32247">
      <w:r w:rsidRPr="00D32247">
        <w:t xml:space="preserve">β) δεν θα ενεργήσουν αθέμιτα, παράνομα ή καταχρηστικά </w:t>
      </w:r>
      <w:proofErr w:type="spellStart"/>
      <w:r w:rsidRPr="00D32247">
        <w:t>καθ΄</w:t>
      </w:r>
      <w:proofErr w:type="spellEnd"/>
      <w:r w:rsidRPr="00D32247">
        <w:t xml:space="preserve"> όλη τη διάρκεια της διαδικασίας ανάθεσης, αλλά και κατά το στάδιο εκτέλεσης της σύμβασης, εφόσον επιλεγούν,</w:t>
      </w:r>
    </w:p>
    <w:p w:rsidR="00D32247" w:rsidRPr="00D32247" w:rsidRDefault="00D32247" w:rsidP="00D32247">
      <w:r w:rsidRPr="00D32247">
        <w:t>γ) λαμβάνουν τα κατάλληλα μέτρα για να διαφυλάξουν την εμπιστευτικότητα των πληροφοριών που έχουν χαρακτηρισθεί ως τέτοιες.</w:t>
      </w:r>
    </w:p>
    <w:p w:rsidR="00D32247" w:rsidRPr="00D32247" w:rsidRDefault="00D32247" w:rsidP="00D32247">
      <w:bookmarkStart w:id="18" w:name="_Toc108094081"/>
      <w:r w:rsidRPr="00D32247">
        <w:lastRenderedPageBreak/>
        <w:t>2.</w:t>
      </w:r>
      <w:r w:rsidRPr="00D32247">
        <w:tab/>
        <w:t>ΓΕΝΙΚΟΙ ΚΑΙ ΕΙΔΙΚΟΙ ΟΡΟΙ ΣΥΜΜΕΤΟΧΗΣ</w:t>
      </w:r>
      <w:bookmarkEnd w:id="18"/>
    </w:p>
    <w:p w:rsidR="00D32247" w:rsidRPr="00D32247" w:rsidRDefault="00D32247" w:rsidP="00D32247">
      <w:bookmarkStart w:id="19" w:name="_Toc108094082"/>
      <w:r w:rsidRPr="00D32247">
        <w:t>2.1</w:t>
      </w:r>
      <w:r w:rsidRPr="00D32247">
        <w:tab/>
        <w:t>Γενικές Πληροφορίες</w:t>
      </w:r>
      <w:bookmarkEnd w:id="19"/>
    </w:p>
    <w:p w:rsidR="00D32247" w:rsidRPr="00D32247" w:rsidRDefault="00D32247" w:rsidP="00D32247">
      <w:bookmarkStart w:id="20" w:name="_Toc108094083"/>
      <w:r w:rsidRPr="00D32247">
        <w:t>2.1.1</w:t>
      </w:r>
      <w:r w:rsidRPr="00D32247">
        <w:tab/>
        <w:t>Έγγραφα της σύμβασης</w:t>
      </w:r>
      <w:bookmarkEnd w:id="20"/>
    </w:p>
    <w:p w:rsidR="00D32247" w:rsidRPr="00D32247" w:rsidRDefault="00D32247" w:rsidP="00D32247">
      <w:r w:rsidRPr="00D32247">
        <w:t>Τα έγγραφα της παρούσας διαδικασίας σύναψης,</w:t>
      </w:r>
      <w:r w:rsidRPr="00D32247">
        <w:footnoteReference w:id="23"/>
      </w:r>
      <w:r w:rsidRPr="00D32247">
        <w:t xml:space="preserve">  είναι τα ακόλουθα:</w:t>
      </w:r>
    </w:p>
    <w:p w:rsidR="00D32247" w:rsidRPr="00D32247" w:rsidRDefault="00D32247" w:rsidP="00D32247">
      <w:pPr>
        <w:rPr>
          <w:highlight w:val="yellow"/>
        </w:rPr>
      </w:pPr>
      <w:r w:rsidRPr="00D32247">
        <w:rPr>
          <w:highlight w:val="yellow"/>
        </w:rPr>
        <w:t xml:space="preserve">η με αρ. ………. Προκήρυξη (περίληψη της παρούσας Διακήρυξης) της Σύμβασης (ΑΔΑΜ........), όπως αυτή έχει δημοσιευτεί στην Επίσημη Εφημερίδα της Ευρωπαϊκής Ένωσης </w:t>
      </w:r>
    </w:p>
    <w:p w:rsidR="00D32247" w:rsidRPr="00D32247" w:rsidRDefault="00D32247" w:rsidP="00D32247">
      <w:r w:rsidRPr="00D32247">
        <w:t>η παρούσα Διακήρυξη και τα παραρτήματά της</w:t>
      </w:r>
    </w:p>
    <w:p w:rsidR="00D32247" w:rsidRPr="00D32247" w:rsidRDefault="00D32247" w:rsidP="00D32247">
      <w:r w:rsidRPr="00D32247">
        <w:t xml:space="preserve">το  Ευρωπαϊκό Ενιαίο Έγγραφο Σύμβασης [ΕΕΕΣ] </w:t>
      </w:r>
    </w:p>
    <w:p w:rsidR="00D32247" w:rsidRPr="00D32247" w:rsidRDefault="00D32247" w:rsidP="00D32247">
      <w:r w:rsidRPr="00D32247">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D32247" w:rsidRPr="00D32247" w:rsidRDefault="00D32247" w:rsidP="00D32247">
      <w:r w:rsidRPr="00D32247">
        <w:t>το σχέδιο της σύμβασης με τα Παραρτήματά της.</w:t>
      </w:r>
    </w:p>
    <w:p w:rsidR="00D32247" w:rsidRPr="00D32247" w:rsidRDefault="00D32247" w:rsidP="00D32247">
      <w:bookmarkStart w:id="21" w:name="_Toc108094084"/>
      <w:r w:rsidRPr="00D32247">
        <w:t>2.1.2</w:t>
      </w:r>
      <w:r w:rsidRPr="00D32247">
        <w:tab/>
        <w:t>Επικοινωνία - Πρόσβαση στα έγγραφα της Σύμβασης</w:t>
      </w:r>
      <w:bookmarkEnd w:id="21"/>
    </w:p>
    <w:p w:rsidR="00D32247" w:rsidRPr="00D32247" w:rsidRDefault="00D32247" w:rsidP="00D32247">
      <w:r w:rsidRPr="00D32247">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D32247">
        <w:t>προσβάσιμη</w:t>
      </w:r>
      <w:proofErr w:type="spellEnd"/>
      <w:r w:rsidRPr="00D32247">
        <w:t xml:space="preserve"> μέσω της Διαδικτυακής Πύλης (</w:t>
      </w:r>
      <w:proofErr w:type="spellStart"/>
      <w:r w:rsidRPr="00D32247">
        <w:t>www.promitheus.gov.gr</w:t>
      </w:r>
      <w:proofErr w:type="spellEnd"/>
      <w:r w:rsidRPr="00D32247">
        <w:t>)</w:t>
      </w:r>
      <w:r w:rsidRPr="00D32247">
        <w:footnoteReference w:id="24"/>
      </w:r>
      <w:r w:rsidRPr="00D32247">
        <w:t>.</w:t>
      </w:r>
    </w:p>
    <w:p w:rsidR="00D32247" w:rsidRPr="00D32247" w:rsidRDefault="00D32247" w:rsidP="00D32247">
      <w:bookmarkStart w:id="22" w:name="_Toc108094085"/>
      <w:r w:rsidRPr="00D32247">
        <w:t>2.1.3</w:t>
      </w:r>
      <w:r w:rsidRPr="00D32247">
        <w:tab/>
        <w:t>Παροχή Διευκρινίσεων</w:t>
      </w:r>
      <w:bookmarkEnd w:id="22"/>
    </w:p>
    <w:p w:rsidR="00D32247" w:rsidRPr="00D32247" w:rsidRDefault="00D32247" w:rsidP="00D32247">
      <w:r w:rsidRPr="00D32247">
        <w:t xml:space="preserve">Τα σχετικά αιτήματα παροχής διευκρινίσεων υποβάλλονται ηλεκτρονικά,  το αργότερο </w:t>
      </w:r>
      <w:r w:rsidRPr="00D32247">
        <w:rPr>
          <w:highlight w:val="yellow"/>
        </w:rPr>
        <w:t>ΧΧ</w:t>
      </w:r>
      <w:r w:rsidRPr="00D32247">
        <w:t xml:space="preserve">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bookmarkStart w:id="23" w:name="_Hlk74565140"/>
      <w:r w:rsidR="00612DE6" w:rsidRPr="00D32247">
        <w:fldChar w:fldCharType="begin"/>
      </w:r>
      <w:r w:rsidRPr="00D32247">
        <w:instrText xml:space="preserve"> HYPERLINK "http://www.promitheus.gov.gr/"</w:instrText>
      </w:r>
      <w:r w:rsidR="00612DE6" w:rsidRPr="00D32247">
        <w:fldChar w:fldCharType="separate"/>
      </w:r>
      <w:r w:rsidRPr="00D32247">
        <w:t>www.promitheus.gov.gr</w:t>
      </w:r>
      <w:r w:rsidR="00612DE6" w:rsidRPr="00D32247">
        <w:fldChar w:fldCharType="end"/>
      </w:r>
      <w:bookmarkEnd w:id="23"/>
      <w:r w:rsidRPr="00D32247">
        <w:t xml:space="preserve"> , του Ε.Σ.Η.ΔΗ.Σ. </w:t>
      </w:r>
    </w:p>
    <w:p w:rsidR="00D32247" w:rsidRPr="00D32247" w:rsidRDefault="00D32247" w:rsidP="00D32247">
      <w:r w:rsidRPr="00D32247">
        <w:t>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D32247" w:rsidRPr="00D32247" w:rsidRDefault="00D32247" w:rsidP="00D32247">
      <w:r w:rsidRPr="00D32247">
        <w:lastRenderedPageBreak/>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32247" w:rsidRPr="00D32247" w:rsidRDefault="00D32247" w:rsidP="00D32247">
      <w:r w:rsidRPr="00D32247">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D32247" w:rsidRPr="00D32247" w:rsidRDefault="00D32247" w:rsidP="00D32247">
      <w:r w:rsidRPr="00D32247">
        <w:t>β) όταν τα έγγραφα της σύμβασης υφίστανται σημαντικές αλλαγές</w:t>
      </w:r>
    </w:p>
    <w:p w:rsidR="00D32247" w:rsidRPr="00D32247" w:rsidRDefault="00D32247" w:rsidP="00D32247">
      <w:r w:rsidRPr="00D32247">
        <w:t>Η διάρκεια της παράτασης θα είναι ανάλογη με τη σπουδαιότητα των πληροφοριών ή των αλλαγών.</w:t>
      </w:r>
    </w:p>
    <w:p w:rsidR="00D32247" w:rsidRPr="00D32247" w:rsidRDefault="00D32247" w:rsidP="00D32247">
      <w:r w:rsidRPr="00D32247">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r w:rsidRPr="00D32247">
        <w:footnoteReference w:id="25"/>
      </w:r>
      <w:r w:rsidRPr="00D32247">
        <w:t xml:space="preserve">. </w:t>
      </w:r>
    </w:p>
    <w:p w:rsidR="00D32247" w:rsidRPr="00D32247" w:rsidRDefault="00D32247" w:rsidP="00D32247">
      <w:r w:rsidRPr="00D32247">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w:t>
      </w:r>
      <w:r w:rsidRPr="00D32247">
        <w:footnoteReference w:id="26"/>
      </w:r>
      <w:r w:rsidRPr="00D32247">
        <w:t xml:space="preserve">) και στο ΚΗΜΔΗΣ </w:t>
      </w:r>
      <w:r w:rsidRPr="00D32247">
        <w:footnoteReference w:id="27"/>
      </w:r>
      <w:r w:rsidRPr="00D32247">
        <w:t>.</w:t>
      </w:r>
    </w:p>
    <w:p w:rsidR="00D32247" w:rsidRPr="00D32247" w:rsidRDefault="00D32247" w:rsidP="00D32247">
      <w:bookmarkStart w:id="24" w:name="_Toc108094086"/>
      <w:r w:rsidRPr="00D32247">
        <w:t>2.1.4</w:t>
      </w:r>
      <w:r w:rsidRPr="00D32247">
        <w:tab/>
        <w:t>Γλώσσα</w:t>
      </w:r>
      <w:bookmarkEnd w:id="24"/>
    </w:p>
    <w:p w:rsidR="00D32247" w:rsidRPr="00D32247" w:rsidRDefault="00D32247" w:rsidP="00D32247">
      <w:r w:rsidRPr="00D32247">
        <w:t>Τα έγγραφα της σύμβασης έχουν συνταχθεί στην ελληνική γλώσσα. Τυχόν προδικαστικές προσφυγές υποβάλλονται στην ελληνική γλώσσα.</w:t>
      </w:r>
    </w:p>
    <w:p w:rsidR="00D32247" w:rsidRPr="00D32247" w:rsidRDefault="00D32247" w:rsidP="00D32247">
      <w:r w:rsidRPr="00D32247">
        <w:t>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sidRPr="00D32247">
        <w:footnoteReference w:id="28"/>
      </w:r>
      <w:r w:rsidRPr="00D32247">
        <w:t xml:space="preserve"> συντάσσονται στην ελληνική γλώσσα ή συνοδεύονται από επίσημη μετάφρασή τους στην ελληνική γλώσσα. </w:t>
      </w:r>
    </w:p>
    <w:p w:rsidR="00D32247" w:rsidRPr="00D32247" w:rsidRDefault="00D32247" w:rsidP="00D32247">
      <w:r w:rsidRPr="00D32247">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rsidR="00D32247" w:rsidRPr="00D32247" w:rsidRDefault="00D32247" w:rsidP="00D32247">
      <w:r w:rsidRPr="00D32247">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D32247">
        <w:t>Apostile</w:t>
      </w:r>
      <w:proofErr w:type="spellEnd"/>
      <w:r w:rsidRPr="00D32247">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D32247" w:rsidRPr="00D32247" w:rsidRDefault="00D32247" w:rsidP="00D32247">
      <w:r w:rsidRPr="00D32247">
        <w:t>Ενημερωτικά και τεχνικά φυλλάδια και άλλα έντυπα -εταιρικά ή μη- με ειδικό τεχνικό περιεχόμενο μπορούν να υποβάλλονται σε άλλη γλώσσα [πχ αγγλική], χωρίς να συνοδεύονται από μετάφραση στην ελληνική.</w:t>
      </w:r>
    </w:p>
    <w:p w:rsidR="00D32247" w:rsidRPr="00D32247" w:rsidRDefault="00D32247" w:rsidP="00D32247">
      <w:r w:rsidRPr="00D32247">
        <w:t>Κάθε μορφής επικοινωνία με την αναθέτουσα αρχή, καθώς και μεταξύ αυτής και του αναδόχου, θα γίνονται υποχρεωτικά στην ελληνική γλώσσα.</w:t>
      </w:r>
    </w:p>
    <w:p w:rsidR="00D32247" w:rsidRPr="00D32247" w:rsidRDefault="00D32247" w:rsidP="00D32247">
      <w:r w:rsidRPr="00D32247">
        <w:lastRenderedPageBreak/>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D32247" w:rsidRPr="00D32247" w:rsidRDefault="00D32247" w:rsidP="00D32247">
      <w:r w:rsidRPr="00D32247">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r w:rsidRPr="00D32247">
        <w:footnoteReference w:id="29"/>
      </w:r>
      <w:r w:rsidRPr="00D32247">
        <w:t xml:space="preserve">. </w:t>
      </w:r>
    </w:p>
    <w:p w:rsidR="00D32247" w:rsidRPr="00D32247" w:rsidRDefault="00D32247" w:rsidP="00D32247">
      <w:r w:rsidRPr="00D32247">
        <w:t>Κάθε μορφής επικοινωνία με την αναθέτουσα αρχή, καθώς και μεταξύ αυτής και του αναδόχου, θα γίνονται υποχρεωτικά στην ελληνική γλώσσα</w:t>
      </w:r>
      <w:r w:rsidRPr="00D32247">
        <w:footnoteReference w:id="30"/>
      </w:r>
      <w:r w:rsidRPr="00D32247">
        <w:t>.</w:t>
      </w:r>
    </w:p>
    <w:p w:rsidR="00D32247" w:rsidRPr="00D32247" w:rsidRDefault="00D32247" w:rsidP="00D32247">
      <w:bookmarkStart w:id="25" w:name="_Toc108094087"/>
      <w:r w:rsidRPr="00D32247">
        <w:t>2.1.5</w:t>
      </w:r>
      <w:r w:rsidRPr="00D32247">
        <w:tab/>
        <w:t>Εγγυήσεις</w:t>
      </w:r>
      <w:r w:rsidRPr="00D32247">
        <w:footnoteReference w:id="31"/>
      </w:r>
      <w:bookmarkEnd w:id="25"/>
    </w:p>
    <w:p w:rsidR="00D32247" w:rsidRPr="00D32247" w:rsidRDefault="00D32247" w:rsidP="00D32247">
      <w:r w:rsidRPr="00D32247">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D32247">
        <w:t>β΄</w:t>
      </w:r>
      <w:proofErr w:type="spellEnd"/>
      <w:r w:rsidRPr="00D32247">
        <w:t xml:space="preserve"> και </w:t>
      </w:r>
      <w:proofErr w:type="spellStart"/>
      <w:r w:rsidRPr="00D32247">
        <w:t>γ΄</w:t>
      </w:r>
      <w:proofErr w:type="spellEnd"/>
      <w:r w:rsidRPr="00D32247">
        <w:t xml:space="preserve"> της παρ. 1 του άρθρου 14 του ν. 4364/ 2016 (Α΄13)</w:t>
      </w:r>
      <w:r w:rsidRPr="00D32247">
        <w:footnoteReference w:id="32"/>
      </w:r>
      <w:r w:rsidRPr="00D32247">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D32247">
        <w:footnoteReference w:id="33"/>
      </w:r>
      <w:r w:rsidRPr="00D32247">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32247" w:rsidRPr="00D32247" w:rsidRDefault="00D32247" w:rsidP="00D32247">
      <w:r w:rsidRPr="00D32247">
        <w:t>Οι εγγυητικές επιστολές εκδίδονται κατ’ επιλογή των οικονομικών φορέων από έναν ή περισσότερους εκδότες της παραπάνω παραγράφου.</w:t>
      </w:r>
    </w:p>
    <w:p w:rsidR="00D32247" w:rsidRPr="00D32247" w:rsidRDefault="00D32247" w:rsidP="00D32247">
      <w:r w:rsidRPr="00D32247">
        <w:t xml:space="preserve">Οι εγγυήσεις αυτές περιλαμβάνουν κατ’ ελάχιστον τα ακόλουθα στοιχεία: </w:t>
      </w:r>
    </w:p>
    <w:p w:rsidR="00D32247" w:rsidRPr="00D32247" w:rsidRDefault="00D32247" w:rsidP="00D32247">
      <w:r w:rsidRPr="00D32247">
        <w:t xml:space="preserve">α) την ημερομηνία έκδοσης, </w:t>
      </w:r>
    </w:p>
    <w:p w:rsidR="00D32247" w:rsidRPr="00D32247" w:rsidRDefault="00D32247" w:rsidP="00D32247">
      <w:r w:rsidRPr="00D32247">
        <w:t xml:space="preserve">β) τον εκδότη, </w:t>
      </w:r>
    </w:p>
    <w:p w:rsidR="00D32247" w:rsidRPr="00D32247" w:rsidRDefault="00D32247" w:rsidP="00D32247">
      <w:r w:rsidRPr="00D32247">
        <w:t xml:space="preserve">γ) την αναθέτουσα αρχή προς την οποία απευθύνονται, </w:t>
      </w:r>
    </w:p>
    <w:p w:rsidR="00D32247" w:rsidRPr="00D32247" w:rsidRDefault="00D32247" w:rsidP="00D32247">
      <w:r w:rsidRPr="00D32247">
        <w:t xml:space="preserve">δ) τον αριθμό της εγγύησης, </w:t>
      </w:r>
    </w:p>
    <w:p w:rsidR="00D32247" w:rsidRPr="00D32247" w:rsidRDefault="00D32247" w:rsidP="00D32247">
      <w:r w:rsidRPr="00D32247">
        <w:t xml:space="preserve">ε) το ποσό που καλύπτει η εγγύηση, </w:t>
      </w:r>
    </w:p>
    <w:p w:rsidR="00D32247" w:rsidRPr="00D32247" w:rsidRDefault="00D32247" w:rsidP="00D32247">
      <w:r w:rsidRPr="00D32247">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D32247" w:rsidRPr="00D32247" w:rsidRDefault="00D32247" w:rsidP="00D32247">
      <w:r w:rsidRPr="00D32247">
        <w:t xml:space="preserve">ζ) τους όρους ότι: </w:t>
      </w:r>
    </w:p>
    <w:p w:rsidR="00D32247" w:rsidRPr="00D32247" w:rsidRDefault="00D32247" w:rsidP="00D32247">
      <w:r w:rsidRPr="00D32247">
        <w:t xml:space="preserve">αα) η εγγύηση παρέχεται ανέκκλητα και ανεπιφύλακτα, ο δε εκδότης παραιτείται του δικαιώματος της διαιρέσεως και της </w:t>
      </w:r>
      <w:proofErr w:type="spellStart"/>
      <w:r w:rsidRPr="00D32247">
        <w:t>διζήσεως</w:t>
      </w:r>
      <w:proofErr w:type="spellEnd"/>
      <w:r w:rsidRPr="00D32247">
        <w:t xml:space="preserve">, και </w:t>
      </w:r>
    </w:p>
    <w:p w:rsidR="00D32247" w:rsidRPr="00D32247" w:rsidRDefault="00D32247" w:rsidP="00D32247">
      <w:proofErr w:type="spellStart"/>
      <w:r w:rsidRPr="00D32247">
        <w:lastRenderedPageBreak/>
        <w:t>ββ</w:t>
      </w:r>
      <w:proofErr w:type="spellEnd"/>
      <w:r w:rsidRPr="00D32247">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w:t>
      </w:r>
    </w:p>
    <w:p w:rsidR="00D32247" w:rsidRPr="00D32247" w:rsidRDefault="00D32247" w:rsidP="00D32247">
      <w:r w:rsidRPr="00D32247">
        <w:t>θ) την ημερομηνία λήξης ή τον χρόνο ισχύος της εγγύησης,</w:t>
      </w:r>
    </w:p>
    <w:p w:rsidR="00D32247" w:rsidRPr="00D32247" w:rsidRDefault="00D32247" w:rsidP="00D32247">
      <w:r w:rsidRPr="00D32247">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
    <w:p w:rsidR="00D32247" w:rsidRPr="00D32247" w:rsidRDefault="00D32247" w:rsidP="00D32247">
      <w:r w:rsidRPr="00D32247">
        <w:t xml:space="preserve">ια) στην περίπτωση των εγγυήσεων καλής εκτέλεσης και προκαταβολής, τον αριθμό και τον τίτλο της σχετικής σύμβασης. </w:t>
      </w:r>
      <w:r w:rsidRPr="00D32247">
        <w:footnoteReference w:id="34"/>
      </w:r>
      <w:r w:rsidRPr="00D32247">
        <w:t xml:space="preserve"> </w:t>
      </w:r>
    </w:p>
    <w:p w:rsidR="00D32247" w:rsidRPr="00D32247" w:rsidRDefault="00D32247" w:rsidP="00D32247">
      <w:r w:rsidRPr="00D32247">
        <w:t xml:space="preserve">Η </w:t>
      </w:r>
      <w:proofErr w:type="spellStart"/>
      <w:r w:rsidRPr="00D32247">
        <w:t>περ</w:t>
      </w:r>
      <w:proofErr w:type="spellEnd"/>
      <w:r w:rsidRPr="00D32247">
        <w:t xml:space="preserve">. αα’ του προηγούμενου εδαφίου </w:t>
      </w:r>
      <w:proofErr w:type="spellStart"/>
      <w:r w:rsidRPr="00D32247">
        <w:t>ζ΄</w:t>
      </w:r>
      <w:proofErr w:type="spellEnd"/>
      <w:r w:rsidRPr="00D32247">
        <w:t xml:space="preserve"> δεν εφαρμόζεται για τις εγγυήσεις που παρέχονται με γραμμάτιο του Ταμείου Παρακαταθηκών και Δανείων.</w:t>
      </w:r>
    </w:p>
    <w:p w:rsidR="00D32247" w:rsidRPr="00D32247" w:rsidRDefault="00D32247" w:rsidP="00D32247">
      <w:r w:rsidRPr="00D32247">
        <w:t>Η αναθέτουσα αρχή επικοινωνεί με τους εκδότες των εγγυητικών επιστολών προκειμένου να διαπιστώσει την εγκυρότητά τους.</w:t>
      </w:r>
    </w:p>
    <w:p w:rsidR="00D32247" w:rsidRPr="00D32247" w:rsidRDefault="00D32247" w:rsidP="00D32247">
      <w:bookmarkStart w:id="26" w:name="_Toc108094088"/>
      <w:r w:rsidRPr="00D32247">
        <w:t>2.1.6</w:t>
      </w:r>
      <w:r w:rsidRPr="00D32247">
        <w:tab/>
        <w:t>Προστασία Προσωπικών Δεδομένων</w:t>
      </w:r>
      <w:bookmarkEnd w:id="26"/>
    </w:p>
    <w:p w:rsidR="00D32247" w:rsidRPr="00D32247" w:rsidRDefault="00D32247" w:rsidP="00D32247">
      <w:r w:rsidRPr="00D32247">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D32247" w:rsidRPr="00D32247" w:rsidRDefault="00D32247" w:rsidP="00D32247"/>
    <w:p w:rsidR="00D32247" w:rsidRPr="00D32247" w:rsidRDefault="00D32247" w:rsidP="00D32247">
      <w:bookmarkStart w:id="27" w:name="_Toc108094089"/>
      <w:r w:rsidRPr="00D32247">
        <w:t>2.2</w:t>
      </w:r>
      <w:r w:rsidRPr="00D32247">
        <w:tab/>
        <w:t>Δικαίωμα Συμμετοχής - Κριτήρια Ποιοτικής Επιλογής</w:t>
      </w:r>
      <w:bookmarkEnd w:id="27"/>
    </w:p>
    <w:p w:rsidR="00D32247" w:rsidRPr="00D32247" w:rsidRDefault="00D32247" w:rsidP="00D32247">
      <w:bookmarkStart w:id="28" w:name="_Toc108094090"/>
      <w:r w:rsidRPr="00D32247">
        <w:t>2.2.1</w:t>
      </w:r>
      <w:r w:rsidRPr="00D32247">
        <w:tab/>
        <w:t>Δικαίωμα συμμετοχής</w:t>
      </w:r>
      <w:bookmarkEnd w:id="28"/>
      <w:r w:rsidRPr="00D32247">
        <w:t xml:space="preserve"> </w:t>
      </w:r>
    </w:p>
    <w:p w:rsidR="00D32247" w:rsidRPr="00D32247" w:rsidRDefault="00D32247" w:rsidP="00D32247">
      <w:r w:rsidRPr="00D32247">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32247" w:rsidRPr="00D32247" w:rsidRDefault="00D32247" w:rsidP="00D32247">
      <w:r w:rsidRPr="00D32247">
        <w:t>α) κράτος-μέλος της Ένωσης,</w:t>
      </w:r>
    </w:p>
    <w:p w:rsidR="00D32247" w:rsidRPr="00D32247" w:rsidRDefault="00D32247" w:rsidP="00D32247">
      <w:r w:rsidRPr="00D32247">
        <w:t>β) κράτος-μέλος του Ευρωπαϊκού Οικονομικού Χώρου (Ε.Ο.Χ.),</w:t>
      </w:r>
    </w:p>
    <w:p w:rsidR="00D32247" w:rsidRPr="00D32247" w:rsidRDefault="00D32247" w:rsidP="00D32247">
      <w:r w:rsidRPr="00D32247">
        <w:t>γ) τρίτες χώρες που έχουν υπογράψει και κυρώσει τη ΣΔΣ</w:t>
      </w:r>
      <w:r w:rsidRPr="00D32247">
        <w:footnoteReference w:id="35"/>
      </w:r>
      <w:r w:rsidRPr="00D32247">
        <w:t>, στο βαθμό που η υπό ανάθεση δημόσια σύμβαση καλύπτεται από τα Παραρτήματα 1, 2, 4, 5, 6 και 7</w:t>
      </w:r>
      <w:r w:rsidRPr="00D32247">
        <w:footnoteReference w:id="36"/>
      </w:r>
      <w:r w:rsidRPr="00D32247">
        <w:t xml:space="preserve"> και τις γενικές σημειώσεις του σχετικού με την Ένωση Προσαρτήματος I της ως άνω Συμφωνίας, καθώς και </w:t>
      </w:r>
    </w:p>
    <w:p w:rsidR="00D32247" w:rsidRPr="00D32247" w:rsidRDefault="00D32247" w:rsidP="00D32247">
      <w:r w:rsidRPr="00D32247">
        <w:t xml:space="preserve">δ) σε τρίτες χώρες που δεν εμπίπτουν στην περίπτωση </w:t>
      </w:r>
      <w:proofErr w:type="spellStart"/>
      <w:r w:rsidRPr="00D32247">
        <w:t>γ΄</w:t>
      </w:r>
      <w:proofErr w:type="spellEnd"/>
      <w:r w:rsidRPr="00D32247">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Pr="00D32247">
        <w:footnoteReference w:id="37"/>
      </w:r>
      <w:r w:rsidRPr="00D32247">
        <w:t>.</w:t>
      </w:r>
    </w:p>
    <w:p w:rsidR="00D32247" w:rsidRPr="00D32247" w:rsidRDefault="00D32247" w:rsidP="00D32247">
      <w:r w:rsidRPr="00D32247">
        <w:t xml:space="preserve">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w:t>
      </w:r>
      <w:r w:rsidRPr="00D32247">
        <w:lastRenderedPageBreak/>
        <w:t>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D32247">
        <w:footnoteReference w:id="38"/>
      </w:r>
    </w:p>
    <w:p w:rsidR="00D32247" w:rsidRPr="00D32247" w:rsidRDefault="00D32247" w:rsidP="00D32247">
      <w:r w:rsidRPr="00D32247">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D32247" w:rsidRPr="00D32247" w:rsidRDefault="00D32247" w:rsidP="00D32247">
      <w:r w:rsidRPr="00D32247">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D32247">
        <w:t>ολόκληρον</w:t>
      </w:r>
      <w:proofErr w:type="spellEnd"/>
      <w:r w:rsidRPr="00D32247">
        <w:footnoteReference w:id="39"/>
      </w:r>
      <w:r w:rsidRPr="00D32247">
        <w:t xml:space="preserve">.  </w:t>
      </w:r>
    </w:p>
    <w:p w:rsidR="00D32247" w:rsidRPr="00D32247" w:rsidRDefault="00D32247" w:rsidP="00D32247"/>
    <w:p w:rsidR="00D32247" w:rsidRPr="00D32247" w:rsidRDefault="00D32247" w:rsidP="00D32247">
      <w:bookmarkStart w:id="29" w:name="_Toc108094091"/>
      <w:r w:rsidRPr="00D32247">
        <w:t>2.2.2</w:t>
      </w:r>
      <w:r w:rsidRPr="00D32247">
        <w:tab/>
        <w:t>Εγγύηση συμμετοχής</w:t>
      </w:r>
      <w:r w:rsidRPr="00D32247">
        <w:footnoteReference w:id="40"/>
      </w:r>
      <w:bookmarkEnd w:id="29"/>
    </w:p>
    <w:p w:rsidR="00D32247" w:rsidRPr="00D32247" w:rsidRDefault="00D32247" w:rsidP="00D32247">
      <w:r w:rsidRPr="00D32247">
        <w:t xml:space="preserve">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ύψους 2% επί του ενδεικτικού προϋπολογισμού χωρίς ΦΠΑ. Το ύψος της εγγύησης συμμετοχής του </w:t>
      </w:r>
      <w:proofErr w:type="spellStart"/>
      <w:r w:rsidRPr="00D32247">
        <w:t>προκηρυσσόμενου</w:t>
      </w:r>
      <w:proofErr w:type="spellEnd"/>
      <w:r w:rsidRPr="00D32247">
        <w:t xml:space="preserve"> αντικειμένου, είναι 4.000 €.</w:t>
      </w:r>
    </w:p>
    <w:p w:rsidR="00D32247" w:rsidRPr="00D32247" w:rsidRDefault="00D32247" w:rsidP="00D32247">
      <w:r w:rsidRPr="00D32247">
        <w:t xml:space="preserve">Στο Παράρτημα IV υπάρχει το υπόδειγμα της εγγυητικής επιστολής </w:t>
      </w:r>
      <w:bookmarkStart w:id="30" w:name="_Hlk489440630"/>
      <w:r w:rsidRPr="00D32247">
        <w:t>συμμετοχής στον διαγωνισμό.</w:t>
      </w:r>
    </w:p>
    <w:bookmarkEnd w:id="30"/>
    <w:p w:rsidR="00D32247" w:rsidRPr="00D32247" w:rsidRDefault="00D32247" w:rsidP="00D32247">
      <w:r w:rsidRPr="00D32247">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32247" w:rsidRPr="00D32247" w:rsidRDefault="00D32247" w:rsidP="00D32247">
      <w:r w:rsidRPr="00D32247">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D32247" w:rsidRPr="00D32247" w:rsidRDefault="00D32247" w:rsidP="00D32247">
      <w:r w:rsidRPr="00D32247">
        <w:t xml:space="preserve">2.2.2.2. Η εγγύηση συμμετοχής επιστρέφεται στον ανάδοχο με την προσκόμιση της εγγύησης καλής εκτέλεσης. </w:t>
      </w:r>
    </w:p>
    <w:p w:rsidR="00D32247" w:rsidRPr="00D32247" w:rsidRDefault="00D32247" w:rsidP="00D32247">
      <w:r w:rsidRPr="00D32247">
        <w:t>Η εγγύηση συμμετοχής επιστρέφεται στους λοιπούς προσφέροντες, σύμφωνα με τα ειδικότερα οριζόμενα στην παρ. 3 του άρθρου 72 του ν. 4412/2016</w:t>
      </w:r>
      <w:r w:rsidRPr="00D32247">
        <w:footnoteReference w:id="41"/>
      </w:r>
      <w:r w:rsidRPr="00D32247">
        <w:t>.</w:t>
      </w:r>
    </w:p>
    <w:p w:rsidR="00D32247" w:rsidRPr="00D32247" w:rsidRDefault="00D32247" w:rsidP="00D32247">
      <w:r w:rsidRPr="00D32247">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D32247">
        <w:t>περ</w:t>
      </w:r>
      <w:proofErr w:type="spellEnd"/>
      <w:r w:rsidRPr="00D32247">
        <w:t>.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D32247">
        <w:footnoteReference w:id="42"/>
      </w:r>
      <w:r w:rsidRPr="00D32247">
        <w:t>, ζ) στις περιπτώσεις των π0αρ.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D32247" w:rsidRPr="00D32247" w:rsidRDefault="00D32247" w:rsidP="00D32247"/>
    <w:p w:rsidR="00D32247" w:rsidRPr="00D32247" w:rsidRDefault="00D32247" w:rsidP="00D32247">
      <w:bookmarkStart w:id="31" w:name="_Toc108094092"/>
      <w:r w:rsidRPr="00D32247">
        <w:t>2.2.3</w:t>
      </w:r>
      <w:r w:rsidRPr="00D32247">
        <w:tab/>
        <w:t>Λόγοι αποκλεισμού</w:t>
      </w:r>
      <w:r w:rsidRPr="00D32247">
        <w:footnoteReference w:id="43"/>
      </w:r>
      <w:bookmarkEnd w:id="31"/>
      <w:r w:rsidRPr="00D32247">
        <w:t xml:space="preserve"> </w:t>
      </w:r>
    </w:p>
    <w:p w:rsidR="00D32247" w:rsidRPr="00D32247" w:rsidRDefault="00D32247" w:rsidP="00D32247">
      <w:r w:rsidRPr="00D32247">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32247" w:rsidRPr="00D32247" w:rsidRDefault="00D32247" w:rsidP="00D32247">
      <w:r w:rsidRPr="00D32247">
        <w:t>2.2.3.1.  Όταν υπάρχει σε βάρος του αμετάκλητη</w:t>
      </w:r>
      <w:r w:rsidRPr="00D32247">
        <w:footnoteReference w:id="44"/>
      </w:r>
      <w:r w:rsidRPr="00D32247">
        <w:t xml:space="preserve"> καταδικαστική απόφαση για ένα από τα ακόλουθα εγκλήματα: </w:t>
      </w:r>
    </w:p>
    <w:p w:rsidR="00D32247" w:rsidRPr="00D32247" w:rsidRDefault="00D32247" w:rsidP="00D32247">
      <w:r w:rsidRPr="00D32247">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D32247" w:rsidRPr="00D32247" w:rsidRDefault="00D32247" w:rsidP="00D32247">
      <w:r w:rsidRPr="00D32247">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D32247" w:rsidRPr="00D32247" w:rsidRDefault="00D32247" w:rsidP="00D32247">
      <w:r w:rsidRPr="00D32247">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D32247">
        <w:t>επ</w:t>
      </w:r>
      <w:proofErr w:type="spellEnd"/>
      <w:r w:rsidRPr="00D32247">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D32247" w:rsidRPr="00D32247" w:rsidRDefault="00D32247" w:rsidP="00D32247">
      <w:r w:rsidRPr="00D32247">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D32247" w:rsidRPr="00D32247" w:rsidRDefault="00D32247" w:rsidP="00D32247">
      <w:r w:rsidRPr="00D32247">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w:t>
      </w:r>
      <w:r w:rsidRPr="00D32247">
        <w:lastRenderedPageBreak/>
        <w:t xml:space="preserve">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D32247">
        <w:t>αριθμ</w:t>
      </w:r>
      <w:proofErr w:type="spellEnd"/>
      <w:r w:rsidRPr="00D32247">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D32247" w:rsidRPr="00D32247" w:rsidRDefault="00D32247" w:rsidP="00D32247">
      <w:r w:rsidRPr="00D32247">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D32247" w:rsidRPr="00D32247" w:rsidRDefault="00D32247" w:rsidP="00D32247">
      <w:r w:rsidRPr="00D32247">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D32247" w:rsidRPr="00D32247" w:rsidRDefault="00D32247" w:rsidP="00D32247">
      <w:r w:rsidRPr="00D32247">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D32247" w:rsidRPr="00D32247" w:rsidRDefault="00D32247" w:rsidP="00D32247">
      <w:r w:rsidRPr="00D32247">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D32247" w:rsidRPr="00D32247" w:rsidRDefault="00D32247" w:rsidP="00D32247">
      <w:r w:rsidRPr="00D32247">
        <w:t>- στις περιπτώσεις Συνεταιρισμών, τα μέλη του Διοικητικού Συμβουλίου.</w:t>
      </w:r>
    </w:p>
    <w:p w:rsidR="00D32247" w:rsidRPr="00D32247" w:rsidRDefault="00D32247" w:rsidP="00D32247">
      <w:r w:rsidRPr="00D32247">
        <w:t>- σε όλες τις υπόλοιπες περιπτώσεις νομικών προσώπων, τον κατά περίπτωση νόμιμο εκπρόσωπο.</w:t>
      </w:r>
    </w:p>
    <w:p w:rsidR="00D32247" w:rsidRPr="00D32247" w:rsidRDefault="00D32247" w:rsidP="00D32247">
      <w:r w:rsidRPr="00D32247">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D32247" w:rsidRPr="00D32247" w:rsidRDefault="00D32247" w:rsidP="00D32247">
      <w:r w:rsidRPr="00D32247">
        <w:t>2.2.3.2. Στις ακόλουθες περιπτώσεις:</w:t>
      </w:r>
    </w:p>
    <w:p w:rsidR="00D32247" w:rsidRPr="00D32247" w:rsidRDefault="00D32247" w:rsidP="00D32247">
      <w:r w:rsidRPr="00D32247">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D32247" w:rsidRPr="00D32247" w:rsidRDefault="00D32247" w:rsidP="00D32247">
      <w:r w:rsidRPr="00D32247">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D32247" w:rsidRPr="00D32247" w:rsidRDefault="00D32247" w:rsidP="00D32247">
      <w:r w:rsidRPr="00D32247">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D32247" w:rsidRPr="00D32247" w:rsidRDefault="00D32247" w:rsidP="00D32247">
      <w:r w:rsidRPr="00D32247">
        <w:t xml:space="preserve">Οι υποχρεώσεις των </w:t>
      </w:r>
      <w:proofErr w:type="spellStart"/>
      <w:r w:rsidRPr="00D32247">
        <w:t>περ</w:t>
      </w:r>
      <w:proofErr w:type="spellEnd"/>
      <w:r w:rsidRPr="00D32247">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D32247" w:rsidRPr="00D32247" w:rsidRDefault="00D32247" w:rsidP="00D32247"/>
    <w:p w:rsidR="00D32247" w:rsidRPr="00D32247" w:rsidRDefault="00D32247" w:rsidP="00D32247">
      <w:r w:rsidRPr="00D32247">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D32247" w:rsidRPr="00D32247" w:rsidRDefault="00D32247" w:rsidP="00D32247"/>
    <w:p w:rsidR="00D32247" w:rsidRPr="00D32247" w:rsidRDefault="00D32247" w:rsidP="00D32247">
      <w:r w:rsidRPr="00D32247">
        <w:t xml:space="preserve">2.2.3.3 </w:t>
      </w:r>
    </w:p>
    <w:p w:rsidR="00D32247" w:rsidRPr="00D32247" w:rsidRDefault="00D32247" w:rsidP="00D32247">
      <w:r w:rsidRPr="00D32247">
        <w:t>α) -</w:t>
      </w:r>
    </w:p>
    <w:p w:rsidR="00D32247" w:rsidRPr="00D32247" w:rsidRDefault="00D32247" w:rsidP="00D32247">
      <w:r w:rsidRPr="00D32247">
        <w:lastRenderedPageBreak/>
        <w:t>β)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rsidR="00D32247" w:rsidRPr="00D32247" w:rsidRDefault="00D32247" w:rsidP="00D32247">
      <w:r w:rsidRPr="00D32247">
        <w:t>2.2.3.4. Αποκλείεται</w:t>
      </w:r>
      <w:r w:rsidRPr="00D32247">
        <w:footnoteReference w:id="45"/>
      </w:r>
      <w:r w:rsidRPr="00D32247">
        <w:t xml:space="preserve"> από τη συμμετοχή στη διαδικασία σύναψης της παρούσας σύμβασης, οικονομικός φορέας σε οποιαδήποτε από τις ακόλουθες καταστάσεις</w:t>
      </w:r>
      <w:r w:rsidRPr="00D32247">
        <w:footnoteReference w:id="46"/>
      </w:r>
      <w:r w:rsidRPr="00D32247">
        <w:t xml:space="preserve">: </w:t>
      </w:r>
    </w:p>
    <w:p w:rsidR="00D32247" w:rsidRPr="00D32247" w:rsidRDefault="00D32247" w:rsidP="00D32247">
      <w:r w:rsidRPr="00D32247">
        <w:t>(α) εάν έχει αθετήσει τις υποχρεώσεις που προβλέπονται στην παρ. 2 του άρθρου 18 του ν. 4412/2016</w:t>
      </w:r>
      <w:r w:rsidRPr="00D32247">
        <w:footnoteReference w:id="47"/>
      </w:r>
      <w:r w:rsidRPr="00D32247">
        <w:t>, περί αρχών που εφαρμόζονται στις διαδικασίες σύναψης δημοσίων συμβάσεων,</w:t>
      </w:r>
    </w:p>
    <w:p w:rsidR="00D32247" w:rsidRPr="00D32247" w:rsidRDefault="00D32247" w:rsidP="00D32247">
      <w:r w:rsidRPr="00D32247">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D32247" w:rsidRPr="00D32247" w:rsidRDefault="00D32247" w:rsidP="00D32247">
      <w:r w:rsidRPr="00D32247">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32247" w:rsidRPr="00D32247" w:rsidRDefault="00D32247" w:rsidP="00D32247">
      <w:r w:rsidRPr="00D32247">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32247" w:rsidRPr="00D32247" w:rsidRDefault="00D32247" w:rsidP="00D32247">
      <w:r w:rsidRPr="00D32247">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D32247" w:rsidRPr="00D32247" w:rsidRDefault="00D32247" w:rsidP="00D32247">
      <w:r w:rsidRPr="00D32247">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32247" w:rsidRPr="00D32247" w:rsidRDefault="00D32247" w:rsidP="00D32247">
      <w:r w:rsidRPr="00D32247">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w:t>
      </w:r>
      <w:r w:rsidRPr="00D32247">
        <w:lastRenderedPageBreak/>
        <w:t xml:space="preserve">προσκομίσει τα δικαιολογητικά που απαιτούνται κατ’ εφαρμογή της παραγράφου 2.2.9.2 της παρούσας, </w:t>
      </w:r>
    </w:p>
    <w:p w:rsidR="00D32247" w:rsidRPr="00D32247" w:rsidRDefault="00D32247" w:rsidP="00D32247">
      <w:r w:rsidRPr="00D32247">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D32247" w:rsidRPr="00D32247" w:rsidRDefault="00D32247" w:rsidP="00D32247">
      <w:r w:rsidRPr="00D32247">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D32247">
        <w:t>αμφιβόλω</w:t>
      </w:r>
      <w:proofErr w:type="spellEnd"/>
      <w:r w:rsidRPr="00D32247">
        <w:t xml:space="preserve"> την ακεραιότητά του. </w:t>
      </w:r>
    </w:p>
    <w:p w:rsidR="00D32247" w:rsidRPr="00D32247" w:rsidRDefault="00D32247" w:rsidP="00D32247">
      <w:r w:rsidRPr="00D32247">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D32247">
        <w:footnoteReference w:id="48"/>
      </w:r>
    </w:p>
    <w:p w:rsidR="00D32247" w:rsidRPr="00D32247" w:rsidRDefault="00D32247" w:rsidP="00D32247">
      <w:r w:rsidRPr="00D32247">
        <w:t xml:space="preserve">2.2.3.5. α) Δεν αφορά. </w:t>
      </w:r>
    </w:p>
    <w:p w:rsidR="00D32247" w:rsidRPr="00D32247" w:rsidRDefault="00D32247" w:rsidP="00D32247">
      <w:r w:rsidRPr="00D32247">
        <w:t>(β) Αποκλείεται από τη διαγωνιστική διαδικασία οικονομικός φορέας στο πρόσωπο του οποίου συντρέχουν οι προϋποθέσεις 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rsidR="00D32247" w:rsidRPr="00D32247" w:rsidRDefault="00D32247" w:rsidP="00D32247">
      <w:r w:rsidRPr="00D32247">
        <w:t>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D32247" w:rsidRPr="00D32247" w:rsidRDefault="00D32247" w:rsidP="00D32247">
      <w:r w:rsidRPr="00D32247">
        <w:t xml:space="preserve">2.2.3.7. Οικονομικός φορέας που εμπίπτει σε μια από τις καταστάσεις που αναφέρονται στις παραγράφους 2.2.3.1 και 2.2.3.4, εκτός από την </w:t>
      </w:r>
      <w:proofErr w:type="spellStart"/>
      <w:r w:rsidRPr="00D32247">
        <w:t>περ</w:t>
      </w:r>
      <w:proofErr w:type="spellEnd"/>
      <w:r w:rsidRPr="00D32247">
        <w:t>. β αυτής, μπορεί να προσκομίζει στοιχεία</w:t>
      </w:r>
      <w:r w:rsidRPr="00D32247">
        <w:footnoteReference w:id="49"/>
      </w:r>
      <w:r w:rsidRPr="00D32247">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D32247">
        <w:t>αυτoκάθαρση</w:t>
      </w:r>
      <w:proofErr w:type="spellEnd"/>
      <w:r w:rsidRPr="00D32247">
        <w:t xml:space="preserve">).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D32247">
        <w:footnoteReference w:id="50"/>
      </w:r>
      <w:r w:rsidRPr="00D32247">
        <w:t>.</w:t>
      </w:r>
    </w:p>
    <w:p w:rsidR="00D32247" w:rsidRPr="00D32247" w:rsidRDefault="00D32247" w:rsidP="00D32247">
      <w:r w:rsidRPr="00D32247">
        <w:t>2.2.3.8.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D32247">
        <w:footnoteReference w:id="51"/>
      </w:r>
      <w:r w:rsidRPr="00D32247">
        <w:t>.</w:t>
      </w:r>
    </w:p>
    <w:p w:rsidR="00D32247" w:rsidRPr="00D32247" w:rsidRDefault="00D32247" w:rsidP="00D32247">
      <w:r w:rsidRPr="00D32247">
        <w:lastRenderedPageBreak/>
        <w:t xml:space="preserve">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D32247" w:rsidRPr="00D32247" w:rsidRDefault="00D32247" w:rsidP="00D32247"/>
    <w:p w:rsidR="00D32247" w:rsidRPr="00D32247" w:rsidRDefault="00D32247" w:rsidP="00D32247">
      <w:r w:rsidRPr="00D32247">
        <w:t>Κριτήρια Επιλογής</w:t>
      </w:r>
      <w:r w:rsidRPr="00D32247">
        <w:footnoteReference w:id="52"/>
      </w:r>
      <w:r w:rsidRPr="00D32247">
        <w:t xml:space="preserve"> </w:t>
      </w:r>
    </w:p>
    <w:p w:rsidR="00D32247" w:rsidRPr="00D32247" w:rsidRDefault="00D32247" w:rsidP="00D32247">
      <w:pPr>
        <w:rPr>
          <w:rFonts w:eastAsia="Calibri"/>
        </w:rPr>
      </w:pPr>
      <w:bookmarkStart w:id="32" w:name="_Toc108094093"/>
      <w:r w:rsidRPr="00D32247">
        <w:t>2.2.4</w:t>
      </w:r>
      <w:r w:rsidRPr="00D32247">
        <w:tab/>
        <w:t>Καταλληλότητα άσκησης επαγγελματικής δραστηριότητας</w:t>
      </w:r>
      <w:r w:rsidRPr="00D32247">
        <w:footnoteReference w:id="53"/>
      </w:r>
      <w:bookmarkEnd w:id="32"/>
      <w:r w:rsidRPr="00D32247">
        <w:t xml:space="preserve"> </w:t>
      </w:r>
    </w:p>
    <w:p w:rsidR="00D32247" w:rsidRPr="00D32247" w:rsidRDefault="00D32247" w:rsidP="00D32247">
      <w:pPr>
        <w:rPr>
          <w:rFonts w:eastAsia="Calibri"/>
        </w:rPr>
      </w:pPr>
      <w:r w:rsidRPr="00D32247">
        <w:rPr>
          <w:rFonts w:eastAsia="Calibri"/>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D32247" w:rsidRPr="00D32247" w:rsidRDefault="00D32247" w:rsidP="00D32247">
      <w:pPr>
        <w:rPr>
          <w:rFonts w:eastAsia="Calibri"/>
        </w:rPr>
      </w:pPr>
      <w:r w:rsidRPr="00D32247">
        <w:rPr>
          <w:rFonts w:eastAsia="Calibri"/>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D32247" w:rsidRPr="00D32247" w:rsidRDefault="00D32247" w:rsidP="00D32247">
      <w:pPr>
        <w:rPr>
          <w:rFonts w:eastAsia="Calibri"/>
        </w:rPr>
      </w:pPr>
      <w:r w:rsidRPr="00D32247">
        <w:rPr>
          <w:rFonts w:eastAsia="Calibri"/>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D32247" w:rsidRPr="00D32247" w:rsidRDefault="00D32247" w:rsidP="00D32247">
      <w:pPr>
        <w:rPr>
          <w:rFonts w:eastAsia="Calibri"/>
        </w:rPr>
      </w:pPr>
      <w:r w:rsidRPr="00D32247">
        <w:rPr>
          <w:rFonts w:eastAsia="Calibri"/>
        </w:rPr>
        <w:t>Οι εγκατεστημένοι στην Ελλάδα οικονομικοί φορείς απαιτείται να είναι εγγεγραμμένοι στο Βιοτεχνικό ή Εμπορικό ή Βιομηχανικό Επιμελητήριο.</w:t>
      </w:r>
      <w:r w:rsidRPr="00D32247">
        <w:rPr>
          <w:rFonts w:eastAsia="Calibri"/>
        </w:rPr>
        <w:footnoteReference w:id="54"/>
      </w:r>
    </w:p>
    <w:p w:rsidR="00D32247" w:rsidRPr="00D32247" w:rsidRDefault="00D32247" w:rsidP="00D32247">
      <w:pPr>
        <w:rPr>
          <w:rFonts w:eastAsia="Calibri"/>
        </w:rPr>
      </w:pPr>
    </w:p>
    <w:p w:rsidR="00D32247" w:rsidRPr="00D32247" w:rsidRDefault="00D32247" w:rsidP="00D32247">
      <w:bookmarkStart w:id="33" w:name="_Toc108094094"/>
      <w:r w:rsidRPr="00D32247">
        <w:t>2.2.5</w:t>
      </w:r>
      <w:r w:rsidRPr="00D32247">
        <w:tab/>
        <w:t>Οικονομική και χρηματοοικονομική επάρκεια</w:t>
      </w:r>
      <w:r w:rsidRPr="00D32247">
        <w:footnoteReference w:id="55"/>
      </w:r>
      <w:bookmarkEnd w:id="33"/>
      <w:r w:rsidRPr="00D32247">
        <w:t xml:space="preserve"> </w:t>
      </w:r>
    </w:p>
    <w:p w:rsidR="00D32247" w:rsidRPr="00D32247" w:rsidRDefault="00D32247" w:rsidP="00D32247">
      <w:r w:rsidRPr="00D32247">
        <w:t>Όσον αφορά την οικονομική και χρηματοοικονομική επάρκεια για την παρούσα διαδικασία σύναψης σύμβασης, οι οικονομικοί φορείς απαιτείται να διαθέτουν:</w:t>
      </w:r>
    </w:p>
    <w:p w:rsidR="00D32247" w:rsidRPr="00D32247" w:rsidRDefault="00D32247" w:rsidP="00D32247">
      <w:r w:rsidRPr="00D32247">
        <w:t>Αθροιστικά ετήσιο (γενικό) κύκλο εργασιών των τριών (3) τελευταίων οικονομικών χρήσεων, ίσο ή μεγαλύτερο με το 100% της εκτιμώμενης αξίας της παρούσας σύμβασης χωρίς ΦΠΑ</w:t>
      </w:r>
    </w:p>
    <w:p w:rsidR="00D32247" w:rsidRPr="00D32247" w:rsidRDefault="00D32247" w:rsidP="00D32247">
      <w:r w:rsidRPr="00D32247">
        <w:lastRenderedPageBreak/>
        <w:t>Σε περίπτωση δε Ένωσης Εταιρειών- Κοινοπραξίας οι ανωτέρω ελάχιστες προϋποθέσεις μπορούν να καλύπτονται αθροιστικά από όλα τα μέλη Ένωσης - Κοινοπραξίας.</w:t>
      </w:r>
    </w:p>
    <w:p w:rsidR="00D32247" w:rsidRPr="00D32247" w:rsidRDefault="00D32247" w:rsidP="00D32247">
      <w:r w:rsidRPr="00D32247">
        <w:t>Σε περίπτωση που ο οικονομικός φορέας δραστηριοποιείται για χρονικό διάστημα μικρότερο των τριών (3) διαχειριστικών χρήσεων, τότε οι ανωτέρω απαιτήσεις αφορούν σε όσες διαχειριστικές χρήσεις δραστηριοποιείται.</w:t>
      </w:r>
    </w:p>
    <w:p w:rsidR="00D32247" w:rsidRPr="00D32247" w:rsidRDefault="00D32247" w:rsidP="00D32247"/>
    <w:p w:rsidR="00D32247" w:rsidRPr="00D32247" w:rsidRDefault="00D32247" w:rsidP="00D32247">
      <w:bookmarkStart w:id="34" w:name="_Toc108094095"/>
      <w:r w:rsidRPr="00D32247">
        <w:t>2.2.6</w:t>
      </w:r>
      <w:r w:rsidRPr="00D32247">
        <w:tab/>
        <w:t>Τεχνική και επαγγελματική ικανότητα</w:t>
      </w:r>
      <w:r w:rsidRPr="00D32247">
        <w:footnoteReference w:id="56"/>
      </w:r>
      <w:bookmarkEnd w:id="34"/>
      <w:r w:rsidRPr="00D32247">
        <w:t xml:space="preserve"> </w:t>
      </w:r>
    </w:p>
    <w:p w:rsidR="00D32247" w:rsidRPr="00D32247" w:rsidRDefault="00D32247" w:rsidP="00D32247">
      <w:r w:rsidRPr="00D32247">
        <w:t>Όσον αφορά στην τεχνική και επαγγελματική ικανότητα για την παρούσα διαδικασία σύναψης σύμβασης, οι οικονομικοί φορείς απαιτείται:</w:t>
      </w:r>
    </w:p>
    <w:p w:rsidR="00D32247" w:rsidRPr="00D32247" w:rsidRDefault="00D32247" w:rsidP="00D32247">
      <w:r w:rsidRPr="00D32247">
        <w:t>α) κατά τη διάρκεια της τελευταίας πενταετίας (2018-2022) και έως την ημερομηνία δημοσίευσης της διακήρυξης, να έχουν εκτελέσει τουλάχιστον μία (1) σύμβαση προμήθειας και εγκατάστασης συστήματος μίσθωσης κοινόχρηστων ποδηλάτων.</w:t>
      </w:r>
    </w:p>
    <w:p w:rsidR="00D32247" w:rsidRPr="00D32247" w:rsidRDefault="00D32247" w:rsidP="00D32247">
      <w:r w:rsidRPr="00D32247">
        <w:t xml:space="preserve">Σε περίπτωση ένωσης οικονομικών φορέων, οι παραπάνω ελάχιστες απαιτήσεις καλύπτονται αθροιστικά από τα μέλη της ένωσης </w:t>
      </w:r>
    </w:p>
    <w:p w:rsidR="00D32247" w:rsidRPr="00D32247" w:rsidRDefault="00D32247" w:rsidP="00D32247"/>
    <w:p w:rsidR="00D32247" w:rsidRPr="00D32247" w:rsidRDefault="00D32247" w:rsidP="00D32247">
      <w:bookmarkStart w:id="35" w:name="_Toc108094096"/>
      <w:r w:rsidRPr="00D32247">
        <w:t>2.2.7</w:t>
      </w:r>
      <w:r w:rsidRPr="00D32247">
        <w:tab/>
        <w:t>Πρότυπα διασφάλισης ποιότητας και πρότυπα περιβαλλοντικής διαχείρισης</w:t>
      </w:r>
      <w:r w:rsidRPr="00D32247">
        <w:footnoteReference w:id="57"/>
      </w:r>
      <w:bookmarkEnd w:id="35"/>
      <w:r w:rsidRPr="00D32247">
        <w:t xml:space="preserve"> </w:t>
      </w:r>
    </w:p>
    <w:p w:rsidR="00D32247" w:rsidRPr="00D32247" w:rsidRDefault="00D32247" w:rsidP="00D32247">
      <w:r w:rsidRPr="00D32247">
        <w:t>Οι οικονομικοί φορείς που συμμετέχουν στην διαδικασία σύναψης της παρούσας απαιτείται να εξασφαλίζουν την ποιότητα των παρεχόμενων ειδών και να διαθέτουν (ή σε περίπτωση ένωσης, όλα τα μέλη αυτής) τα παρακάτω Πρότυπα Διασφάλισης ποιότητας:</w:t>
      </w:r>
    </w:p>
    <w:p w:rsidR="00D32247" w:rsidRPr="00D32247" w:rsidRDefault="00D32247" w:rsidP="00D32247">
      <w:r w:rsidRPr="00D32247">
        <w:t xml:space="preserve">α) Πιστοποίηση Διασφάλισης Ποιότητας της σειράς ISO 9001:2015 </w:t>
      </w:r>
      <w:proofErr w:type="spellStart"/>
      <w:r w:rsidRPr="00D32247">
        <w:t>ή</w:t>
      </w:r>
      <w:proofErr w:type="spellEnd"/>
      <w:r w:rsidRPr="00D32247">
        <w:t xml:space="preserve"> ισοδύναμο. </w:t>
      </w:r>
    </w:p>
    <w:p w:rsidR="00D32247" w:rsidRPr="00D32247" w:rsidRDefault="00D32247" w:rsidP="00D32247">
      <w:r w:rsidRPr="00D32247">
        <w:t xml:space="preserve">β) Πιστοποίηση Συστήματος Περιβαλλοντικής Διαχείρισης κατά ISO </w:t>
      </w:r>
      <w:bookmarkStart w:id="36" w:name="_Hlk66446512"/>
      <w:r w:rsidRPr="00D32247">
        <w:t xml:space="preserve">14001:2015 </w:t>
      </w:r>
      <w:bookmarkEnd w:id="36"/>
      <w:proofErr w:type="spellStart"/>
      <w:r w:rsidRPr="00D32247">
        <w:t>ή</w:t>
      </w:r>
      <w:proofErr w:type="spellEnd"/>
      <w:r w:rsidRPr="00D32247">
        <w:t xml:space="preserve"> ισοδύναμο. </w:t>
      </w:r>
    </w:p>
    <w:p w:rsidR="00D32247" w:rsidRPr="00D32247" w:rsidRDefault="00D32247" w:rsidP="00D32247">
      <w:r w:rsidRPr="00D32247">
        <w:t xml:space="preserve">γ) Πιστοποίηση Συστήματος Ασφάλειας Πληροφοριών κατά ISO 27001:2013 </w:t>
      </w:r>
      <w:proofErr w:type="spellStart"/>
      <w:r w:rsidRPr="00D32247">
        <w:t>ή</w:t>
      </w:r>
      <w:proofErr w:type="spellEnd"/>
      <w:r w:rsidRPr="00D32247">
        <w:t xml:space="preserve"> ισοδύναμο.</w:t>
      </w:r>
    </w:p>
    <w:p w:rsidR="00D32247" w:rsidRPr="00D32247" w:rsidRDefault="00D32247" w:rsidP="00D32247">
      <w:r w:rsidRPr="00D32247">
        <w:t xml:space="preserve">δ) Πιστοποίηση Συστήματος Διαχείρισης της Υγείας και της Ασφάλειας στην Εργασία κατά ISO 45001:2018 </w:t>
      </w:r>
      <w:proofErr w:type="spellStart"/>
      <w:r w:rsidRPr="00D32247">
        <w:t>ή</w:t>
      </w:r>
      <w:proofErr w:type="spellEnd"/>
      <w:r w:rsidRPr="00D32247">
        <w:t xml:space="preserve"> ισοδύναμο.</w:t>
      </w:r>
    </w:p>
    <w:p w:rsidR="00D32247" w:rsidRPr="00D32247" w:rsidRDefault="00D32247" w:rsidP="00D32247">
      <w:r w:rsidRPr="00D32247">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D32247" w:rsidRPr="00D32247" w:rsidRDefault="00D32247" w:rsidP="00D32247">
      <w:r w:rsidRPr="00D32247">
        <w:t>Σε περίπτωση ένωσης οικονομικών φορέων, οι παραπάνω ελάχιστες απαιτήσεις καλύπτονται αθροιστικά από τα μέλη της ένωσης.</w:t>
      </w:r>
    </w:p>
    <w:p w:rsidR="00D32247" w:rsidRPr="00D32247" w:rsidRDefault="00D32247" w:rsidP="00D32247">
      <w:bookmarkStart w:id="37" w:name="_Toc108094097"/>
      <w:r w:rsidRPr="00D32247">
        <w:t>2.2.8</w:t>
      </w:r>
      <w:r w:rsidRPr="00D32247">
        <w:tab/>
        <w:t>Στήριξη στην ικανότητα τρίτων – Υπεργολαβία</w:t>
      </w:r>
      <w:bookmarkEnd w:id="37"/>
    </w:p>
    <w:p w:rsidR="00D32247" w:rsidRPr="00D32247" w:rsidRDefault="00D32247" w:rsidP="00D32247">
      <w:r w:rsidRPr="00D32247">
        <w:t>2.2.8.1. Στήριξη στην ικανότητα τρίτων</w:t>
      </w:r>
      <w:r w:rsidRPr="00D32247">
        <w:footnoteReference w:id="58"/>
      </w:r>
    </w:p>
    <w:p w:rsidR="00D32247" w:rsidRPr="00D32247" w:rsidRDefault="00D32247" w:rsidP="00D32247">
      <w:r w:rsidRPr="00D32247">
        <w:t>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D32247">
        <w:footnoteReference w:id="59"/>
      </w:r>
      <w:r w:rsidRPr="00D32247">
        <w:t xml:space="preserve">. Στην περίπτωση αυτή, αποδεικνύουν ότι θα έχουν στη διάθεσή τους </w:t>
      </w:r>
      <w:proofErr w:type="spellStart"/>
      <w:r w:rsidRPr="00D32247">
        <w:t>τους</w:t>
      </w:r>
      <w:proofErr w:type="spellEnd"/>
      <w:r w:rsidRPr="00D32247">
        <w:t xml:space="preserve"> αναγκαίους πόρους, με την προσκόμιση της σχετικής δέσμευσης των φορέων στην ικανότητα των οποίων στηρίζονται.  </w:t>
      </w:r>
    </w:p>
    <w:p w:rsidR="00D32247" w:rsidRPr="00D32247" w:rsidRDefault="00D32247" w:rsidP="00D32247">
      <w:r w:rsidRPr="00D32247">
        <w:lastRenderedPageBreak/>
        <w:t>Υπό τους ίδιους όρους οι ενώσεις οικονομικών φορέων μπορούν να στηρίζονται στις ικανότητες των συμμετεχόντων στην ένωση ή άλλων φορέων.</w:t>
      </w:r>
    </w:p>
    <w:p w:rsidR="00D32247" w:rsidRPr="00D32247" w:rsidRDefault="00D32247" w:rsidP="00D32247">
      <w:r w:rsidRPr="00D32247">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D32247" w:rsidRPr="00D32247" w:rsidRDefault="00D32247" w:rsidP="00D32247"/>
    <w:p w:rsidR="00D32247" w:rsidRPr="00D32247" w:rsidRDefault="00D32247" w:rsidP="00D32247">
      <w:r w:rsidRPr="00D32247">
        <w:t>2.2.8.2. Υπεργολαβία</w:t>
      </w:r>
    </w:p>
    <w:p w:rsidR="00D32247" w:rsidRPr="00D32247" w:rsidRDefault="00D32247" w:rsidP="00D32247">
      <w:r w:rsidRPr="00D32247">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sidRPr="00D32247">
        <w:footnoteReference w:id="60"/>
      </w:r>
      <w:r w:rsidRPr="00D32247">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D32247" w:rsidRPr="00D32247" w:rsidRDefault="00D32247" w:rsidP="00D32247"/>
    <w:p w:rsidR="00D32247" w:rsidRPr="00D32247" w:rsidRDefault="00D32247" w:rsidP="00D32247">
      <w:bookmarkStart w:id="38" w:name="_Toc108094098"/>
      <w:r w:rsidRPr="00D32247">
        <w:t>2.2.9</w:t>
      </w:r>
      <w:r w:rsidRPr="00D32247">
        <w:tab/>
        <w:t>Κανόνες απόδειξης ποιοτικής επιλογής</w:t>
      </w:r>
      <w:bookmarkEnd w:id="38"/>
    </w:p>
    <w:p w:rsidR="00D32247" w:rsidRPr="00D32247" w:rsidRDefault="00D32247" w:rsidP="00D32247">
      <w:r w:rsidRPr="00D32247">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D32247">
        <w:t>περ</w:t>
      </w:r>
      <w:proofErr w:type="spellEnd"/>
      <w:r w:rsidRPr="00D32247">
        <w:t xml:space="preserve">. </w:t>
      </w:r>
      <w:proofErr w:type="spellStart"/>
      <w:r w:rsidRPr="00D32247">
        <w:t>δ΄</w:t>
      </w:r>
      <w:proofErr w:type="spellEnd"/>
      <w:r w:rsidRPr="00D32247">
        <w:t xml:space="preserve"> της παρ. 3 του άρθρου 105 του ν. 4412/2016. </w:t>
      </w:r>
    </w:p>
    <w:p w:rsidR="00D32247" w:rsidRPr="00D32247" w:rsidRDefault="00D32247" w:rsidP="00D32247">
      <w:r w:rsidRPr="00D32247">
        <w:t>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r w:rsidRPr="00D32247">
        <w:footnoteReference w:id="61"/>
      </w:r>
      <w:r w:rsidRPr="00D32247">
        <w:t>.</w:t>
      </w:r>
    </w:p>
    <w:p w:rsidR="00D32247" w:rsidRPr="00D32247" w:rsidRDefault="00D32247" w:rsidP="00D32247">
      <w:r w:rsidRPr="00D32247">
        <w:t>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sidRPr="00D32247">
        <w:footnoteReference w:id="62"/>
      </w:r>
      <w:r w:rsidRPr="00D32247">
        <w:t xml:space="preserve">. </w:t>
      </w:r>
    </w:p>
    <w:p w:rsidR="00D32247" w:rsidRPr="00D32247" w:rsidRDefault="00D32247" w:rsidP="00D32247">
      <w:pPr>
        <w:rPr>
          <w:rFonts w:eastAsia="Calibri"/>
        </w:rPr>
      </w:pPr>
      <w:r w:rsidRPr="00D32247">
        <w:rPr>
          <w:rFonts w:eastAsia="Calibri"/>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D32247">
        <w:rPr>
          <w:rFonts w:eastAsia="Calibri"/>
        </w:rPr>
        <w:footnoteReference w:id="63"/>
      </w:r>
      <w:r w:rsidRPr="00D32247">
        <w:rPr>
          <w:rFonts w:eastAsia="Calibri"/>
        </w:rPr>
        <w:t xml:space="preserve">. </w:t>
      </w:r>
    </w:p>
    <w:p w:rsidR="00D32247" w:rsidRPr="00D32247" w:rsidRDefault="00D32247" w:rsidP="00D32247">
      <w:bookmarkStart w:id="39" w:name="_Toc108094099"/>
      <w:r w:rsidRPr="00D32247">
        <w:t>2.2.9.1</w:t>
      </w:r>
      <w:r w:rsidRPr="00D32247">
        <w:tab/>
        <w:t>Προκαταρκτική απόδειξη κατά την υποβολή προσφορών</w:t>
      </w:r>
      <w:bookmarkEnd w:id="39"/>
      <w:r w:rsidRPr="00D32247">
        <w:t xml:space="preserve"> </w:t>
      </w:r>
    </w:p>
    <w:p w:rsidR="00D32247" w:rsidRPr="00D32247" w:rsidRDefault="00D32247" w:rsidP="00D32247">
      <w:r w:rsidRPr="00D32247">
        <w:lastRenderedPageBreak/>
        <w:t>Προς προκαταρκτική απόδειξη ότι οι προσφέροντες οικονομικοί φορείς:</w:t>
      </w:r>
      <w:r w:rsidRPr="00D32247">
        <w:tab/>
        <w:t xml:space="preserve"> </w:t>
      </w:r>
      <w:r w:rsidRPr="00D32247">
        <w:br/>
        <w:t xml:space="preserve">α) δεν βρίσκονται σε μία από τις καταστάσεις της παραγράφου 2.2.3 και </w:t>
      </w:r>
    </w:p>
    <w:p w:rsidR="00D32247" w:rsidRPr="00D32247" w:rsidRDefault="00D32247" w:rsidP="00D32247">
      <w:r w:rsidRPr="00D32247">
        <w:t>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ΙΙΙ, το οποίο ισοδυναμεί με ενημερωμένη υπεύθυνη δήλωση, με τις συνέπειες του ν. 1599/1986. Το ΕΕΕΣ</w:t>
      </w:r>
      <w:r w:rsidRPr="00D32247">
        <w:footnoteReference w:id="64"/>
      </w:r>
      <w:r w:rsidRPr="00D32247">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D32247">
        <w:footnoteReference w:id="65"/>
      </w:r>
      <w:r w:rsidRPr="00D32247">
        <w:t xml:space="preserve"> </w:t>
      </w:r>
    </w:p>
    <w:p w:rsidR="00D32247" w:rsidRPr="00D32247" w:rsidRDefault="00D32247" w:rsidP="00D32247">
      <w:r w:rsidRPr="00D32247">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D32247">
        <w:footnoteReference w:id="66"/>
      </w:r>
    </w:p>
    <w:p w:rsidR="00D32247" w:rsidRPr="00D32247" w:rsidRDefault="00D32247" w:rsidP="00D32247">
      <w:r w:rsidRPr="00D32247">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sidRPr="00D32247">
        <w:footnoteReference w:id="67"/>
      </w:r>
    </w:p>
    <w:p w:rsidR="00D32247" w:rsidRPr="00D32247" w:rsidRDefault="00D32247" w:rsidP="00D32247">
      <w:r w:rsidRPr="00D32247">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D32247" w:rsidRPr="00D32247" w:rsidRDefault="00D32247" w:rsidP="00D32247">
      <w:r w:rsidRPr="00D32247">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D32247" w:rsidRPr="00D32247" w:rsidRDefault="00D32247" w:rsidP="00D32247">
      <w:r w:rsidRPr="00D32247">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D32247">
        <w:footnoteReference w:id="68"/>
      </w:r>
      <w:r w:rsidRPr="00D32247">
        <w:t>.</w:t>
      </w:r>
      <w:hyperlink r:id="rId12" w:history="1"/>
      <w:hyperlink r:id="rId13" w:history="1"/>
    </w:p>
    <w:p w:rsidR="00D32247" w:rsidRPr="00D32247" w:rsidRDefault="00D32247" w:rsidP="00D32247">
      <w:pPr>
        <w:rPr>
          <w:rFonts w:eastAsia="Calibri"/>
        </w:rPr>
      </w:pPr>
      <w:r w:rsidRPr="00D32247">
        <w:rPr>
          <w:rFonts w:eastAsia="Calibri"/>
        </w:rPr>
        <w:lastRenderedPageBreak/>
        <w:t>Ο οικονομικός φορέας φέρει την ειδική υποχρέωση, να δηλώσει, μέσω του ΕΕΕΣ,</w:t>
      </w:r>
      <w:r w:rsidRPr="00D32247">
        <w:rPr>
          <w:rFonts w:eastAsia="Calibri"/>
        </w:rPr>
        <w:footnoteReference w:id="69"/>
      </w:r>
      <w:r w:rsidRPr="00D32247">
        <w:rPr>
          <w:rFonts w:eastAsia="Calibri"/>
        </w:rPr>
        <w:t xml:space="preserve"> την κατάστασή του σε σχέση με τους λόγους που προβλέπονται στο άρθρο 73 του ν. 4412/2016 και την παράγραφο 2.2.3 της παρούσης</w:t>
      </w:r>
      <w:r w:rsidRPr="00D32247">
        <w:rPr>
          <w:rFonts w:eastAsia="Calibri"/>
        </w:rPr>
        <w:footnoteReference w:id="70"/>
      </w:r>
      <w:r w:rsidRPr="00D32247">
        <w:rPr>
          <w:rFonts w:eastAsia="Calibri"/>
        </w:rPr>
        <w:t xml:space="preserve"> και ταυτόχρονα να επικαλεσθεί και τυχόν ληφθέντα μέτρα προς αποκατάσταση της αξιοπιστίας του.</w:t>
      </w:r>
    </w:p>
    <w:p w:rsidR="00D32247" w:rsidRPr="00D32247" w:rsidRDefault="00D32247" w:rsidP="00D32247">
      <w:pPr>
        <w:rPr>
          <w:rFonts w:eastAsia="Calibri"/>
        </w:rPr>
      </w:pPr>
      <w:r w:rsidRPr="00D32247">
        <w:rPr>
          <w:rFonts w:eastAsia="Calibri"/>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D32247">
        <w:rPr>
          <w:rFonts w:eastAsia="Calibri"/>
        </w:rPr>
        <w:t>περ</w:t>
      </w:r>
      <w:proofErr w:type="spellEnd"/>
      <w:r w:rsidRPr="00D32247">
        <w:rPr>
          <w:rFonts w:eastAsia="Calibri"/>
        </w:rPr>
        <w:t>. γ της παραγράφου 2.2.3.4 της παρούσης, αναλύεται στο σχετικό πεδίο που προβάλλει κατόπιν θετικής απάντησης</w:t>
      </w:r>
      <w:r w:rsidRPr="00D32247">
        <w:rPr>
          <w:rFonts w:eastAsia="Calibri"/>
        </w:rPr>
        <w:footnoteReference w:id="71"/>
      </w:r>
      <w:r w:rsidRPr="00D32247">
        <w:rPr>
          <w:rFonts w:eastAsia="Calibri"/>
        </w:rPr>
        <w:t>.</w:t>
      </w:r>
    </w:p>
    <w:p w:rsidR="00D32247" w:rsidRPr="00D32247" w:rsidRDefault="00D32247" w:rsidP="00D32247">
      <w:pPr>
        <w:rPr>
          <w:rFonts w:eastAsia="Calibri"/>
        </w:rPr>
      </w:pPr>
      <w:r w:rsidRPr="00D32247">
        <w:rPr>
          <w:rFonts w:eastAsia="Calibri"/>
        </w:rPr>
        <w:t>Όσον αφορά στις υποχρεώσεις του ως προς την καταβολή φόρων ή εισφορών κοινωνικής ασφάλισης (</w:t>
      </w:r>
      <w:proofErr w:type="spellStart"/>
      <w:r w:rsidRPr="00D32247">
        <w:rPr>
          <w:rFonts w:eastAsia="Calibri"/>
        </w:rPr>
        <w:t>περ</w:t>
      </w:r>
      <w:proofErr w:type="spellEnd"/>
      <w:r w:rsidRPr="00D32247">
        <w:rPr>
          <w:rFonts w:eastAsia="Calibri"/>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D32247">
        <w:rPr>
          <w:rFonts w:eastAsia="Calibri"/>
        </w:rPr>
        <w:footnoteReference w:id="72"/>
      </w:r>
      <w:r w:rsidRPr="00D32247">
        <w:rPr>
          <w:rFonts w:eastAsia="Calibri"/>
        </w:rPr>
        <w:t>.</w:t>
      </w:r>
    </w:p>
    <w:p w:rsidR="00D32247" w:rsidRPr="00D32247" w:rsidRDefault="00D32247" w:rsidP="00D32247">
      <w:bookmarkStart w:id="40" w:name="_Toc108094100"/>
      <w:r w:rsidRPr="00D32247">
        <w:t>2.2.9.2</w:t>
      </w:r>
      <w:r w:rsidRPr="00D32247">
        <w:tab/>
        <w:t>Αποδεικτικά μέσα</w:t>
      </w:r>
      <w:r w:rsidRPr="00D32247">
        <w:rPr>
          <w:rFonts w:eastAsia="Calibri"/>
        </w:rPr>
        <w:footnoteReference w:id="73"/>
      </w:r>
      <w:bookmarkEnd w:id="40"/>
      <w:r w:rsidRPr="00D32247">
        <w:t xml:space="preserve"> </w:t>
      </w:r>
    </w:p>
    <w:p w:rsidR="00D32247" w:rsidRPr="00D32247" w:rsidRDefault="00D32247" w:rsidP="00D32247">
      <w:r w:rsidRPr="00D32247">
        <w:t>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D32247" w:rsidRPr="00D32247" w:rsidRDefault="00D32247" w:rsidP="00D32247">
      <w:r w:rsidRPr="00D32247">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D32247" w:rsidRPr="00D32247" w:rsidRDefault="00D32247" w:rsidP="00D32247">
      <w:r w:rsidRPr="00D32247">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D32247">
        <w:footnoteReference w:id="74"/>
      </w:r>
      <w:r w:rsidRPr="00D32247">
        <w:t>.</w:t>
      </w:r>
    </w:p>
    <w:p w:rsidR="00D32247" w:rsidRPr="00D32247" w:rsidRDefault="00D32247" w:rsidP="00D32247">
      <w:r w:rsidRPr="00D32247">
        <w:lastRenderedPageBreak/>
        <w:t>Τα δικαιολογητικά του παρόντος υποβάλλονται και γίνονται αποδεκτά σύμφωνα με την παράγραφο 2.4.2.5. και 3.2 της παρούσας.</w:t>
      </w:r>
    </w:p>
    <w:p w:rsidR="00D32247" w:rsidRPr="00D32247" w:rsidRDefault="00D32247" w:rsidP="00D32247">
      <w:r w:rsidRPr="00D32247">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D32247" w:rsidRPr="00D32247" w:rsidRDefault="00D32247" w:rsidP="00D32247">
      <w:r w:rsidRPr="00D32247">
        <w:t>Β. 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D32247" w:rsidRPr="00D32247" w:rsidRDefault="00D32247" w:rsidP="00D32247">
      <w:r w:rsidRPr="00D32247">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D32247">
        <w:t>περ</w:t>
      </w:r>
      <w:proofErr w:type="spellEnd"/>
      <w:r w:rsidRPr="00D32247">
        <w:t xml:space="preserve">. α’ και β’, καθώς και στην </w:t>
      </w:r>
      <w:proofErr w:type="spellStart"/>
      <w:r w:rsidRPr="00D32247">
        <w:t>περ</w:t>
      </w:r>
      <w:proofErr w:type="spellEnd"/>
      <w:r w:rsidRPr="00D32247">
        <w:t xml:space="preserve">. </w:t>
      </w:r>
      <w:proofErr w:type="spellStart"/>
      <w:r w:rsidRPr="00D32247">
        <w:t>β΄</w:t>
      </w:r>
      <w:proofErr w:type="spellEnd"/>
      <w:r w:rsidRPr="00D32247">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D32247">
        <w:t>περ</w:t>
      </w:r>
      <w:proofErr w:type="spellEnd"/>
      <w:r w:rsidRPr="00D32247">
        <w:t xml:space="preserve">. α’ και β’, καθώς και στην </w:t>
      </w:r>
      <w:proofErr w:type="spellStart"/>
      <w:r w:rsidRPr="00D32247">
        <w:t>περ</w:t>
      </w:r>
      <w:proofErr w:type="spellEnd"/>
      <w:r w:rsidRPr="00D32247">
        <w:t xml:space="preserve">. </w:t>
      </w:r>
      <w:proofErr w:type="spellStart"/>
      <w:r w:rsidRPr="00D32247">
        <w:t>β΄</w:t>
      </w:r>
      <w:proofErr w:type="spellEnd"/>
      <w:r w:rsidRPr="00D32247">
        <w:t xml:space="preserve"> της παραγράφου 2.2.3.4. Οι επίσημες δηλώσεις καθίστανται διαθέσιμες μέσω του </w:t>
      </w:r>
      <w:proofErr w:type="spellStart"/>
      <w:r w:rsidRPr="00D32247">
        <w:t>επιγραμμικού</w:t>
      </w:r>
      <w:proofErr w:type="spellEnd"/>
      <w:r w:rsidRPr="00D32247">
        <w:t xml:space="preserve"> αποθετηρίου πιστοποιητικών (e-</w:t>
      </w:r>
      <w:proofErr w:type="spellStart"/>
      <w:r w:rsidRPr="00D32247">
        <w:t>Certi</w:t>
      </w:r>
      <w:proofErr w:type="spellEnd"/>
      <w:r w:rsidRPr="00D32247">
        <w:t>s) του άρθρου 81 του ν. 4412/2016.</w:t>
      </w:r>
    </w:p>
    <w:p w:rsidR="00D32247" w:rsidRPr="00D32247" w:rsidRDefault="00D32247" w:rsidP="00D32247">
      <w:r w:rsidRPr="00D32247">
        <w:t>Ειδικότερα οι οικονομικοί φορείς προσκομίζουν:</w:t>
      </w:r>
    </w:p>
    <w:p w:rsidR="00D32247" w:rsidRPr="00D32247" w:rsidRDefault="00D32247" w:rsidP="00D32247">
      <w:r w:rsidRPr="00D32247">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D32247" w:rsidRPr="00D32247" w:rsidRDefault="00D32247" w:rsidP="00D32247">
      <w:r w:rsidRPr="00D32247">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D32247" w:rsidRPr="00D32247" w:rsidRDefault="00D32247" w:rsidP="00D32247">
      <w:r w:rsidRPr="00D32247">
        <w:t>Ιδίως οι οικονομικοί φορείς που είναι εγκατεστημένοι στην Ελλάδα προσκομίζουν:</w:t>
      </w:r>
    </w:p>
    <w:p w:rsidR="00D32247" w:rsidRPr="00D32247" w:rsidRDefault="00D32247" w:rsidP="00D32247">
      <w:r w:rsidRPr="00D32247">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D32247" w:rsidRPr="00D32247" w:rsidRDefault="00D32247" w:rsidP="00D32247">
      <w:r w:rsidRPr="00D32247">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D32247" w:rsidRPr="00D32247" w:rsidRDefault="00D32247" w:rsidP="00D32247">
      <w:r w:rsidRPr="00D32247">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D32247" w:rsidRPr="00D32247" w:rsidRDefault="00D32247" w:rsidP="00D32247">
      <w:r w:rsidRPr="00D32247">
        <w:t>γ) για την παράγραφο 2.2.3.4</w:t>
      </w:r>
      <w:r w:rsidRPr="00D32247">
        <w:footnoteReference w:id="75"/>
      </w:r>
      <w:r w:rsidRPr="00D32247">
        <w:t xml:space="preserve"> περίπτωση </w:t>
      </w:r>
      <w:proofErr w:type="spellStart"/>
      <w:r w:rsidRPr="00D32247">
        <w:t>β΄</w:t>
      </w:r>
      <w:proofErr w:type="spellEnd"/>
      <w:r w:rsidRPr="00D32247">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D32247" w:rsidRPr="00D32247" w:rsidRDefault="00D32247" w:rsidP="00D32247">
      <w:r w:rsidRPr="00D32247">
        <w:t>Ιδίως οι οικονομικοί φορείς που είναι εγκατεστημένοι στην Ελλάδα προσκομίζουν:</w:t>
      </w:r>
    </w:p>
    <w:p w:rsidR="00D32247" w:rsidRPr="00D32247" w:rsidRDefault="00D32247" w:rsidP="00D32247">
      <w:bookmarkStart w:id="41" w:name="_Hlk69240569"/>
      <w:r w:rsidRPr="00D32247">
        <w:t>i) Ενιαίο Πιστοποιητικό Δικαστικής Φερεγγυότητας</w:t>
      </w:r>
      <w:bookmarkEnd w:id="41"/>
      <w:r w:rsidRPr="00D32247">
        <w:t xml:space="preserve"> από το αρμόδιο Πρωτοδικείο, από το οποίο προκύπτει ότι δεν τελούν υπό πτώχευση, πτωχευτικό συμβιβασμό ή υπό αναγκαστική διαχείριση ή </w:t>
      </w:r>
      <w:r w:rsidRPr="00D32247">
        <w:lastRenderedPageBreak/>
        <w:t>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D32247" w:rsidRPr="00D32247" w:rsidRDefault="00D32247" w:rsidP="00D32247">
      <w:r w:rsidRPr="00D32247">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D32247" w:rsidRPr="00D32247" w:rsidRDefault="00D32247" w:rsidP="00D32247">
      <w:r w:rsidRPr="00D32247">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D32247">
        <w:t>taxisnet</w:t>
      </w:r>
      <w:proofErr w:type="spellEnd"/>
      <w:r w:rsidRPr="00D32247">
        <w:t>, από την οποία να προκύπτει η μη αναστολή της επιχειρηματικής δραστηριότητάς τους.</w:t>
      </w:r>
    </w:p>
    <w:p w:rsidR="00D32247" w:rsidRPr="00D32247" w:rsidRDefault="00D32247" w:rsidP="00D32247">
      <w:r w:rsidRPr="00D32247">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D32247" w:rsidRPr="00D32247" w:rsidRDefault="00D32247" w:rsidP="00D32247">
      <w:r w:rsidRPr="00D32247">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Pr="00D32247">
        <w:footnoteReference w:id="76"/>
      </w:r>
      <w:r w:rsidRPr="00D32247">
        <w:t>.</w:t>
      </w:r>
    </w:p>
    <w:p w:rsidR="00D32247" w:rsidRPr="00D32247" w:rsidRDefault="00D32247" w:rsidP="00D32247">
      <w:r w:rsidRPr="00D32247">
        <w:t xml:space="preserve">ε) για την παράγραφο 2.2.3.5.β υπεύθυνη δήλωση του προσφέροντος οικονομικού φορέα με το κάτωθι περιεχόμενο: </w:t>
      </w:r>
    </w:p>
    <w:p w:rsidR="00D32247" w:rsidRPr="00D32247" w:rsidRDefault="00D32247" w:rsidP="00D32247">
      <w:r w:rsidRPr="00D32247">
        <w:t xml:space="preserve">«Δηλώνω υπεύθυνα ότι δεν υπάρχει ρωσική συμμετοχή στην εταιρεία που εκπροσωπώ και εκτελεί τη σύμβαση,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w:t>
      </w:r>
    </w:p>
    <w:p w:rsidR="00D32247" w:rsidRPr="00D32247" w:rsidRDefault="00D32247" w:rsidP="00D32247">
      <w:r w:rsidRPr="00D32247">
        <w:t xml:space="preserve">Συγκεκριμένα δηλώνω ότι : </w:t>
      </w:r>
    </w:p>
    <w:p w:rsidR="00D32247" w:rsidRPr="00D32247" w:rsidRDefault="00D32247" w:rsidP="00D32247">
      <w:r w:rsidRPr="00D32247">
        <w:t xml:space="preserve">(α) ο ανάδοχος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εγκατεστημένος στη Ρωσία, </w:t>
      </w:r>
    </w:p>
    <w:p w:rsidR="00D32247" w:rsidRPr="00D32247" w:rsidRDefault="00D32247" w:rsidP="00D32247">
      <w:r w:rsidRPr="00D32247">
        <w:t xml:space="preserve">(β) ο ανάδοχος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w:t>
      </w:r>
    </w:p>
    <w:p w:rsidR="00D32247" w:rsidRPr="00D32247" w:rsidRDefault="00D32247" w:rsidP="00D32247">
      <w:r w:rsidRPr="00D32247">
        <w:t xml:space="preserve">(γ)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σημείο(α) ή (β) παραπάνω, </w:t>
      </w:r>
    </w:p>
    <w:p w:rsidR="00D32247" w:rsidRPr="00D32247" w:rsidRDefault="00D32247" w:rsidP="00D32247">
      <w:r w:rsidRPr="00D32247">
        <w:t xml:space="preserve">(δ) δεν υπάρχει συμμετοχή φορέων και οντοτήτων που απαριθμούνται στα ανωτέρω στοιχεία α) έως γ), άνω του 10% της αξίας της σύμβασης των υπεργολάβων, προμηθευτών ή φορέων στις ικανότητες των οποίων να στηρίζεται ο ανάδοχος τον οποίον εκπροσωπώ.» </w:t>
      </w:r>
    </w:p>
    <w:p w:rsidR="00D32247" w:rsidRPr="00D32247" w:rsidRDefault="00D32247" w:rsidP="00D32247">
      <w:r w:rsidRPr="00D32247">
        <w:t>στ)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D32247" w:rsidRPr="00D32247" w:rsidRDefault="00D32247" w:rsidP="00D32247">
      <w:pPr>
        <w:rPr>
          <w:rFonts w:eastAsia="Calibri"/>
        </w:rPr>
      </w:pPr>
      <w:r w:rsidRPr="00D32247">
        <w:t xml:space="preserve">B.2. </w:t>
      </w:r>
      <w:r w:rsidRPr="00D32247">
        <w:rPr>
          <w:rFonts w:eastAsia="Calibri"/>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w:t>
      </w:r>
      <w:r w:rsidRPr="00D32247">
        <w:rPr>
          <w:rFonts w:eastAsia="Calibri"/>
        </w:rPr>
        <w:lastRenderedPageBreak/>
        <w:t>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D32247">
        <w:rPr>
          <w:rFonts w:eastAsia="Calibri"/>
        </w:rPr>
        <w:footnoteReference w:id="77"/>
      </w:r>
    </w:p>
    <w:p w:rsidR="00D32247" w:rsidRPr="00D32247" w:rsidRDefault="00D32247" w:rsidP="00D32247">
      <w:pPr>
        <w:rPr>
          <w:rFonts w:eastAsia="Calibri"/>
        </w:rPr>
      </w:pPr>
      <w:r w:rsidRPr="00D32247">
        <w:rPr>
          <w:rFonts w:eastAsia="Calibri"/>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D32247">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D32247" w:rsidRPr="00D32247" w:rsidRDefault="00D32247" w:rsidP="00D32247">
      <w:r w:rsidRPr="00D32247">
        <w:rPr>
          <w:rFonts w:eastAsia="Calibri"/>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D32247">
        <w:t xml:space="preserve"> </w:t>
      </w:r>
      <w:r w:rsidRPr="00D32247">
        <w:rPr>
          <w:rFonts w:eastAsia="Calibri"/>
        </w:rPr>
        <w:t>εκτός εάν, σύμφωνα με τις ειδικότερες διατάξεις αυτών, φέρουν συγκεκριμένο χρόνο ισχύος.</w:t>
      </w:r>
    </w:p>
    <w:p w:rsidR="00D32247" w:rsidRPr="00D32247" w:rsidRDefault="00D32247" w:rsidP="00D32247">
      <w:r w:rsidRPr="00D32247">
        <w:t>Β.3. Για την απόδειξη της οικονομικής και χρηματοοικονομικής επάρκειας της παραγράφου 2.2.5 οι οικονομικοί φορείς προσκομίζουν</w:t>
      </w:r>
      <w:r w:rsidRPr="00D32247">
        <w:footnoteReference w:id="78"/>
      </w:r>
      <w:r w:rsidRPr="00D32247">
        <w:t xml:space="preserve">: </w:t>
      </w:r>
    </w:p>
    <w:p w:rsidR="00D32247" w:rsidRPr="00D32247" w:rsidRDefault="00D32247" w:rsidP="00D32247">
      <w:r w:rsidRPr="00D32247">
        <w:t>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της χώρας όπου είναι εγκατεστημένος ο οικονομικός φορέας, των τριών (3) τελευταίων οικονομικών χρήσεων.</w:t>
      </w:r>
    </w:p>
    <w:p w:rsidR="00D32247" w:rsidRPr="00D32247" w:rsidRDefault="00D32247" w:rsidP="00D32247">
      <w:r w:rsidRPr="00D32247">
        <w:t xml:space="preserve">Σε περίπτωση που ο υποψήφιος Ανάδοχος δεν έχει - δεν υποχρεούται σε δημοσίευση ισολογισμών - δημοσιευμένους ισολογισμούς για τρεις (3) διαχειριστικές τους, τότε μπορεί να υποβάλει ισοδύναμα λογιστικά έγγραφα ή άλλα  επίσημα έγγραφα ή φωτοαντίγραφα των αντίστοιχων Φορολογικών Δηλώσεων.  </w:t>
      </w:r>
    </w:p>
    <w:p w:rsidR="00D32247" w:rsidRPr="00D32247" w:rsidRDefault="00D32247" w:rsidP="00D32247">
      <w:r w:rsidRPr="00D32247">
        <w:t>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w:t>
      </w:r>
    </w:p>
    <w:p w:rsidR="00D32247" w:rsidRPr="00D32247" w:rsidRDefault="00D32247" w:rsidP="00D32247">
      <w:r w:rsidRPr="00D32247">
        <w:t>Στην περίπτωση που ο υποψήφιος Ανάδοχος είναι ένωση προσώπων, πρέπει να υποβάλει τα ανωτέρω έγγραφα χωριστά για καθένα από τα μέλη της. Στην περίπτωση αυτή επιτρέπεται η μερική κάλυψη των προϋποθέσεων από τα μέλη της Ένωσης αρκεί αυτές να καλύπτονται συνολικά.</w:t>
      </w:r>
    </w:p>
    <w:p w:rsidR="00D32247" w:rsidRPr="00D32247" w:rsidRDefault="00D32247" w:rsidP="00D32247"/>
    <w:p w:rsidR="00D32247" w:rsidRPr="00D32247" w:rsidRDefault="00D32247" w:rsidP="00D32247">
      <w:r w:rsidRPr="00D32247">
        <w:t>Β.4. Για την απόδειξη της τεχνικής ικανότητας της παραγράφου 2.2.6, οι οικονομικοί φορείς προσκομίζουν:</w:t>
      </w:r>
      <w:r w:rsidRPr="00D32247">
        <w:footnoteReference w:id="79"/>
      </w:r>
      <w:r w:rsidRPr="00D32247">
        <w:t xml:space="preserve"> </w:t>
      </w:r>
    </w:p>
    <w:p w:rsidR="00D32247" w:rsidRPr="00D32247" w:rsidRDefault="00D32247" w:rsidP="00D32247">
      <w:bookmarkStart w:id="42" w:name="_Hlk113538127"/>
      <w:r w:rsidRPr="00D32247">
        <w:t xml:space="preserve">Α) Πίνακα των κυριότερων συμβάσεων που εκτέλεσαν επιτυχώς. </w:t>
      </w:r>
    </w:p>
    <w:p w:rsidR="00D32247" w:rsidRPr="00D32247" w:rsidRDefault="00D32247" w:rsidP="00D32247">
      <w:pPr>
        <w:rPr>
          <w:rFonts w:eastAsia="PMingLiU"/>
        </w:rPr>
      </w:pPr>
      <w:r w:rsidRPr="00D32247">
        <w:rPr>
          <w:rFonts w:eastAsia="PMingLiU"/>
        </w:rPr>
        <w:t>Ο Πίνακας των κυριότερων συμβάσεων πρέπει να συνταχθεί σύμφωνα με το ακόλουθο υπόδειγμα:</w:t>
      </w:r>
    </w:p>
    <w:tbl>
      <w:tblPr>
        <w:tblpPr w:leftFromText="180" w:rightFromText="180" w:vertAnchor="text" w:horzAnchor="margin" w:tblpXSpec="center" w:tblpY="5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907"/>
        <w:gridCol w:w="1029"/>
        <w:gridCol w:w="1065"/>
        <w:gridCol w:w="1584"/>
        <w:gridCol w:w="914"/>
        <w:gridCol w:w="1351"/>
        <w:gridCol w:w="1295"/>
        <w:gridCol w:w="1256"/>
      </w:tblGrid>
      <w:tr w:rsidR="00D32247" w:rsidRPr="00D32247" w:rsidTr="005B0B46">
        <w:tc>
          <w:tcPr>
            <w:tcW w:w="340" w:type="pct"/>
            <w:tcBorders>
              <w:top w:val="single" w:sz="4" w:space="0" w:color="auto"/>
              <w:left w:val="single" w:sz="4" w:space="0" w:color="auto"/>
              <w:bottom w:val="single" w:sz="4" w:space="0" w:color="auto"/>
              <w:right w:val="single" w:sz="4" w:space="0" w:color="auto"/>
            </w:tcBorders>
            <w:shd w:val="clear" w:color="auto" w:fill="D9D9D9"/>
            <w:vAlign w:val="center"/>
            <w:hideMark/>
          </w:tcPr>
          <w:bookmarkEnd w:id="42"/>
          <w:p w:rsidR="00D32247" w:rsidRPr="005B0B46" w:rsidRDefault="00D32247" w:rsidP="00D32247">
            <w:pPr>
              <w:rPr>
                <w:rFonts w:eastAsia="Courier New"/>
                <w:sz w:val="18"/>
                <w:szCs w:val="18"/>
              </w:rPr>
            </w:pPr>
            <w:r w:rsidRPr="005B0B46">
              <w:rPr>
                <w:rFonts w:eastAsia="Courier New"/>
                <w:sz w:val="18"/>
                <w:szCs w:val="18"/>
              </w:rPr>
              <w:lastRenderedPageBreak/>
              <w:t>Α/Α</w:t>
            </w:r>
          </w:p>
        </w:tc>
        <w:tc>
          <w:tcPr>
            <w:tcW w:w="3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32247" w:rsidRPr="005B0B46" w:rsidRDefault="00D32247" w:rsidP="00D32247">
            <w:pPr>
              <w:rPr>
                <w:rFonts w:eastAsia="Courier New"/>
                <w:sz w:val="18"/>
                <w:szCs w:val="18"/>
              </w:rPr>
            </w:pPr>
            <w:r w:rsidRPr="005B0B46">
              <w:rPr>
                <w:rFonts w:eastAsia="Courier New"/>
                <w:sz w:val="18"/>
                <w:szCs w:val="18"/>
              </w:rPr>
              <w:t>ΠΕΛΑΤΗΣ</w:t>
            </w:r>
          </w:p>
        </w:tc>
        <w:tc>
          <w:tcPr>
            <w:tcW w:w="4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32247" w:rsidRPr="005B0B46" w:rsidRDefault="00D32247" w:rsidP="00D32247">
            <w:pPr>
              <w:rPr>
                <w:rFonts w:eastAsia="Courier New"/>
                <w:sz w:val="18"/>
                <w:szCs w:val="18"/>
              </w:rPr>
            </w:pPr>
            <w:r w:rsidRPr="005B0B46">
              <w:rPr>
                <w:rFonts w:eastAsia="Courier New"/>
                <w:sz w:val="18"/>
                <w:szCs w:val="18"/>
              </w:rPr>
              <w:t>ΣΥΝΤΟΜΗ ΠΕΡΙΓΡΑΦΗ ΤΗΣ ΣΥΜΒΑΣΗΣ</w:t>
            </w:r>
          </w:p>
        </w:tc>
        <w:tc>
          <w:tcPr>
            <w:tcW w:w="4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32247" w:rsidRPr="005B0B46" w:rsidRDefault="00D32247" w:rsidP="00D32247">
            <w:pPr>
              <w:rPr>
                <w:rFonts w:eastAsia="Courier New"/>
                <w:sz w:val="18"/>
                <w:szCs w:val="18"/>
              </w:rPr>
            </w:pPr>
            <w:r w:rsidRPr="005B0B46">
              <w:rPr>
                <w:rFonts w:eastAsia="Courier New"/>
                <w:sz w:val="18"/>
                <w:szCs w:val="18"/>
              </w:rPr>
              <w:t>ΔΙΑΡΚΕΙΑ ΕΚΤΕΛΕΣΗΣ  (από – έως)</w:t>
            </w:r>
          </w:p>
        </w:tc>
        <w:tc>
          <w:tcPr>
            <w:tcW w:w="7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32247" w:rsidRPr="005B0B46" w:rsidRDefault="00D32247" w:rsidP="00D32247">
            <w:pPr>
              <w:rPr>
                <w:rFonts w:eastAsia="Courier New"/>
                <w:sz w:val="18"/>
                <w:szCs w:val="18"/>
              </w:rPr>
            </w:pPr>
            <w:r w:rsidRPr="005B0B46">
              <w:rPr>
                <w:rFonts w:eastAsia="Courier New"/>
                <w:sz w:val="18"/>
                <w:szCs w:val="18"/>
              </w:rPr>
              <w:t>ΠΡΟΫΠΟΛΟΓΙΣΜΟΣ</w:t>
            </w:r>
          </w:p>
        </w:tc>
        <w:tc>
          <w:tcPr>
            <w:tcW w:w="45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32247" w:rsidRPr="005B0B46" w:rsidRDefault="00D32247" w:rsidP="00D32247">
            <w:pPr>
              <w:rPr>
                <w:rFonts w:eastAsia="Courier New"/>
                <w:sz w:val="18"/>
                <w:szCs w:val="18"/>
              </w:rPr>
            </w:pPr>
            <w:r w:rsidRPr="005B0B46">
              <w:rPr>
                <w:rFonts w:eastAsia="Courier New"/>
                <w:sz w:val="18"/>
                <w:szCs w:val="18"/>
              </w:rPr>
              <w:t>ΠΑΡΟΥΣΑ ΦΑΣΗ</w:t>
            </w:r>
          </w:p>
        </w:tc>
        <w:tc>
          <w:tcPr>
            <w:tcW w:w="7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32247" w:rsidRPr="005B0B46" w:rsidRDefault="00D32247" w:rsidP="00D32247">
            <w:pPr>
              <w:rPr>
                <w:rFonts w:eastAsia="Courier New"/>
                <w:sz w:val="18"/>
                <w:szCs w:val="18"/>
              </w:rPr>
            </w:pPr>
            <w:r w:rsidRPr="005B0B46">
              <w:rPr>
                <w:rFonts w:eastAsia="Courier New"/>
                <w:sz w:val="18"/>
                <w:szCs w:val="18"/>
              </w:rPr>
              <w:t>ΣΥΝΟΠΤΙΚΗ ΠΕΡΙΓΡΑΦΗ ΤΟΥ ΑΝΤΙΚΕΙΜΕΝΟΥ ΣΥΝΕΙΣΦΟΡΑΣ ΚΑΘΕ ΟΙΚΟΝΟΜΙΚΟΥ ΦΟΡΕΑ ΠΟΥ ΣΥΜΜΕΤΕΧΕΙ ΣΤΟ ΣΧΗΜΑ ΤΗΣ ΠΡΟΣΟΦΡΑΣ</w:t>
            </w:r>
          </w:p>
        </w:tc>
        <w:tc>
          <w:tcPr>
            <w:tcW w:w="7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32247" w:rsidRPr="005B0B46" w:rsidRDefault="00D32247" w:rsidP="00D32247">
            <w:pPr>
              <w:rPr>
                <w:rFonts w:eastAsia="Courier New"/>
                <w:sz w:val="18"/>
                <w:szCs w:val="18"/>
              </w:rPr>
            </w:pPr>
            <w:r w:rsidRPr="005B0B46">
              <w:rPr>
                <w:rFonts w:eastAsia="Courier New"/>
                <w:sz w:val="18"/>
                <w:szCs w:val="18"/>
              </w:rPr>
              <w:t>ΠΟΣΟΣΤΟ ΣΥΜΜΕΤΟΧΗΣ ΣΤΟ ΕΡΓΟ</w:t>
            </w:r>
          </w:p>
          <w:p w:rsidR="00D32247" w:rsidRPr="005B0B46" w:rsidRDefault="00D32247" w:rsidP="00D32247">
            <w:pPr>
              <w:rPr>
                <w:rFonts w:eastAsia="Courier New"/>
                <w:sz w:val="18"/>
                <w:szCs w:val="18"/>
              </w:rPr>
            </w:pPr>
            <w:r w:rsidRPr="005B0B46">
              <w:rPr>
                <w:rFonts w:eastAsia="Courier New"/>
                <w:sz w:val="18"/>
                <w:szCs w:val="18"/>
              </w:rPr>
              <w:t>(προϋπολογισμός)</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32247" w:rsidRPr="005B0B46" w:rsidRDefault="00D32247" w:rsidP="00D32247">
            <w:pPr>
              <w:rPr>
                <w:rFonts w:eastAsia="Courier New"/>
                <w:sz w:val="18"/>
                <w:szCs w:val="18"/>
              </w:rPr>
            </w:pPr>
            <w:r w:rsidRPr="005B0B46">
              <w:rPr>
                <w:rFonts w:eastAsia="Courier New"/>
                <w:sz w:val="18"/>
                <w:szCs w:val="18"/>
              </w:rPr>
              <w:t>ΣΤΟΙΧΕΙΟ ΤΕΚΜΗΡΙΩΣΗΣ</w:t>
            </w:r>
          </w:p>
          <w:p w:rsidR="00D32247" w:rsidRPr="005B0B46" w:rsidRDefault="00D32247" w:rsidP="00D32247">
            <w:pPr>
              <w:rPr>
                <w:rFonts w:eastAsia="Courier New"/>
                <w:sz w:val="18"/>
                <w:szCs w:val="18"/>
              </w:rPr>
            </w:pPr>
            <w:r w:rsidRPr="005B0B46">
              <w:rPr>
                <w:rFonts w:eastAsia="Courier New"/>
                <w:sz w:val="18"/>
                <w:szCs w:val="18"/>
              </w:rPr>
              <w:t>(τύπος &amp;</w:t>
            </w:r>
          </w:p>
          <w:p w:rsidR="00D32247" w:rsidRPr="005B0B46" w:rsidRDefault="00D32247" w:rsidP="00D32247">
            <w:pPr>
              <w:rPr>
                <w:rFonts w:eastAsia="Courier New"/>
                <w:sz w:val="18"/>
                <w:szCs w:val="18"/>
              </w:rPr>
            </w:pPr>
            <w:proofErr w:type="spellStart"/>
            <w:r w:rsidRPr="005B0B46">
              <w:rPr>
                <w:rFonts w:eastAsia="Courier New"/>
                <w:sz w:val="18"/>
                <w:szCs w:val="18"/>
              </w:rPr>
              <w:t>ημ</w:t>
            </w:r>
            <w:proofErr w:type="spellEnd"/>
            <w:r w:rsidRPr="005B0B46">
              <w:rPr>
                <w:rFonts w:eastAsia="Courier New"/>
                <w:sz w:val="18"/>
                <w:szCs w:val="18"/>
              </w:rPr>
              <w:t>/</w:t>
            </w:r>
            <w:proofErr w:type="spellStart"/>
            <w:r w:rsidRPr="005B0B46">
              <w:rPr>
                <w:rFonts w:eastAsia="Courier New"/>
                <w:sz w:val="18"/>
                <w:szCs w:val="18"/>
              </w:rPr>
              <w:t>νία</w:t>
            </w:r>
            <w:proofErr w:type="spellEnd"/>
          </w:p>
        </w:tc>
      </w:tr>
      <w:tr w:rsidR="00D32247" w:rsidRPr="00D32247" w:rsidTr="005B0B46">
        <w:tc>
          <w:tcPr>
            <w:tcW w:w="340" w:type="pct"/>
            <w:tcBorders>
              <w:top w:val="single" w:sz="4" w:space="0" w:color="auto"/>
              <w:left w:val="single" w:sz="4" w:space="0" w:color="auto"/>
              <w:bottom w:val="single" w:sz="4" w:space="0" w:color="auto"/>
              <w:right w:val="single" w:sz="4" w:space="0" w:color="auto"/>
            </w:tcBorders>
            <w:vAlign w:val="center"/>
          </w:tcPr>
          <w:p w:rsidR="00D32247" w:rsidRPr="00D32247" w:rsidRDefault="00D32247" w:rsidP="00D32247">
            <w:pPr>
              <w:rPr>
                <w:rFonts w:eastAsia="Courier New"/>
              </w:rPr>
            </w:pPr>
          </w:p>
        </w:tc>
        <w:tc>
          <w:tcPr>
            <w:tcW w:w="363" w:type="pct"/>
            <w:tcBorders>
              <w:top w:val="single" w:sz="4" w:space="0" w:color="auto"/>
              <w:left w:val="single" w:sz="4" w:space="0" w:color="auto"/>
              <w:bottom w:val="single" w:sz="4" w:space="0" w:color="auto"/>
              <w:right w:val="single" w:sz="4" w:space="0" w:color="auto"/>
            </w:tcBorders>
            <w:vAlign w:val="center"/>
          </w:tcPr>
          <w:p w:rsidR="00D32247" w:rsidRPr="00D32247" w:rsidRDefault="00D32247" w:rsidP="00D32247">
            <w:pPr>
              <w:rPr>
                <w:rFonts w:eastAsia="Courier New"/>
              </w:rPr>
            </w:pPr>
          </w:p>
        </w:tc>
        <w:tc>
          <w:tcPr>
            <w:tcW w:w="404" w:type="pct"/>
            <w:tcBorders>
              <w:top w:val="single" w:sz="4" w:space="0" w:color="auto"/>
              <w:left w:val="single" w:sz="4" w:space="0" w:color="auto"/>
              <w:bottom w:val="single" w:sz="4" w:space="0" w:color="auto"/>
              <w:right w:val="single" w:sz="4" w:space="0" w:color="auto"/>
            </w:tcBorders>
            <w:vAlign w:val="center"/>
          </w:tcPr>
          <w:p w:rsidR="00D32247" w:rsidRPr="00D32247" w:rsidRDefault="00D32247" w:rsidP="00D32247">
            <w:pPr>
              <w:rPr>
                <w:rFonts w:eastAsia="Courier New"/>
              </w:rPr>
            </w:pPr>
          </w:p>
        </w:tc>
        <w:tc>
          <w:tcPr>
            <w:tcW w:w="477" w:type="pct"/>
            <w:tcBorders>
              <w:top w:val="single" w:sz="4" w:space="0" w:color="auto"/>
              <w:left w:val="single" w:sz="4" w:space="0" w:color="auto"/>
              <w:bottom w:val="single" w:sz="4" w:space="0" w:color="auto"/>
              <w:right w:val="single" w:sz="4" w:space="0" w:color="auto"/>
            </w:tcBorders>
            <w:vAlign w:val="center"/>
          </w:tcPr>
          <w:p w:rsidR="00D32247" w:rsidRPr="00D32247" w:rsidRDefault="00D32247" w:rsidP="00D32247">
            <w:pPr>
              <w:rPr>
                <w:rFonts w:eastAsia="Courier New"/>
              </w:rPr>
            </w:pPr>
          </w:p>
        </w:tc>
        <w:tc>
          <w:tcPr>
            <w:tcW w:w="740" w:type="pct"/>
            <w:tcBorders>
              <w:top w:val="single" w:sz="4" w:space="0" w:color="auto"/>
              <w:left w:val="single" w:sz="4" w:space="0" w:color="auto"/>
              <w:bottom w:val="single" w:sz="4" w:space="0" w:color="auto"/>
              <w:right w:val="single" w:sz="4" w:space="0" w:color="auto"/>
            </w:tcBorders>
            <w:vAlign w:val="center"/>
          </w:tcPr>
          <w:p w:rsidR="00D32247" w:rsidRPr="00D32247" w:rsidRDefault="00D32247" w:rsidP="00D32247">
            <w:pPr>
              <w:rPr>
                <w:rFonts w:eastAsia="Courier New"/>
              </w:rPr>
            </w:pPr>
          </w:p>
        </w:tc>
        <w:tc>
          <w:tcPr>
            <w:tcW w:w="459" w:type="pct"/>
            <w:tcBorders>
              <w:top w:val="single" w:sz="4" w:space="0" w:color="auto"/>
              <w:left w:val="single" w:sz="4" w:space="0" w:color="auto"/>
              <w:bottom w:val="single" w:sz="4" w:space="0" w:color="auto"/>
              <w:right w:val="single" w:sz="4" w:space="0" w:color="auto"/>
            </w:tcBorders>
            <w:vAlign w:val="center"/>
          </w:tcPr>
          <w:p w:rsidR="00D32247" w:rsidRPr="00D32247" w:rsidRDefault="00D32247" w:rsidP="00D32247">
            <w:pPr>
              <w:rPr>
                <w:rFonts w:eastAsia="Courier New"/>
              </w:rPr>
            </w:pPr>
          </w:p>
        </w:tc>
        <w:tc>
          <w:tcPr>
            <w:tcW w:w="786" w:type="pct"/>
            <w:tcBorders>
              <w:top w:val="single" w:sz="4" w:space="0" w:color="auto"/>
              <w:left w:val="single" w:sz="4" w:space="0" w:color="auto"/>
              <w:bottom w:val="single" w:sz="4" w:space="0" w:color="auto"/>
              <w:right w:val="single" w:sz="4" w:space="0" w:color="auto"/>
            </w:tcBorders>
            <w:vAlign w:val="center"/>
          </w:tcPr>
          <w:p w:rsidR="00D32247" w:rsidRPr="00D32247" w:rsidRDefault="00D32247" w:rsidP="00D32247">
            <w:pPr>
              <w:rPr>
                <w:rFonts w:eastAsia="Courier New"/>
              </w:rPr>
            </w:pPr>
          </w:p>
        </w:tc>
        <w:tc>
          <w:tcPr>
            <w:tcW w:w="715" w:type="pct"/>
            <w:tcBorders>
              <w:top w:val="single" w:sz="4" w:space="0" w:color="auto"/>
              <w:left w:val="single" w:sz="4" w:space="0" w:color="auto"/>
              <w:bottom w:val="single" w:sz="4" w:space="0" w:color="auto"/>
              <w:right w:val="single" w:sz="4" w:space="0" w:color="auto"/>
            </w:tcBorders>
            <w:vAlign w:val="center"/>
          </w:tcPr>
          <w:p w:rsidR="00D32247" w:rsidRPr="00D32247" w:rsidRDefault="00D32247" w:rsidP="00D32247">
            <w:pPr>
              <w:rPr>
                <w:rFonts w:eastAsia="Courier New"/>
              </w:rPr>
            </w:pPr>
          </w:p>
        </w:tc>
        <w:tc>
          <w:tcPr>
            <w:tcW w:w="714" w:type="pct"/>
            <w:tcBorders>
              <w:top w:val="single" w:sz="4" w:space="0" w:color="auto"/>
              <w:left w:val="single" w:sz="4" w:space="0" w:color="auto"/>
              <w:bottom w:val="single" w:sz="4" w:space="0" w:color="auto"/>
              <w:right w:val="single" w:sz="4" w:space="0" w:color="auto"/>
            </w:tcBorders>
            <w:vAlign w:val="center"/>
          </w:tcPr>
          <w:p w:rsidR="00D32247" w:rsidRPr="00D32247" w:rsidRDefault="00D32247" w:rsidP="00D32247">
            <w:pPr>
              <w:rPr>
                <w:rFonts w:eastAsia="Courier New"/>
              </w:rPr>
            </w:pPr>
          </w:p>
        </w:tc>
      </w:tr>
    </w:tbl>
    <w:p w:rsidR="00D32247" w:rsidRPr="00D32247" w:rsidRDefault="00D32247" w:rsidP="00D32247">
      <w:pPr>
        <w:rPr>
          <w:rFonts w:eastAsia="Courier New"/>
        </w:rPr>
      </w:pPr>
      <w:r w:rsidRPr="00D32247">
        <w:rPr>
          <w:rFonts w:eastAsia="Courier New"/>
        </w:rPr>
        <w:t>Όπου:</w:t>
      </w:r>
    </w:p>
    <w:p w:rsidR="00D32247" w:rsidRPr="00D32247" w:rsidRDefault="00D32247" w:rsidP="00D32247">
      <w:pPr>
        <w:rPr>
          <w:rFonts w:eastAsia="Courier New"/>
        </w:rPr>
      </w:pPr>
    </w:p>
    <w:p w:rsidR="00D32247" w:rsidRPr="00D32247" w:rsidRDefault="00D32247" w:rsidP="00D32247">
      <w:bookmarkStart w:id="43" w:name="_Hlk113538167"/>
      <w:r w:rsidRPr="00D32247">
        <w:t>Β) Ως αποδεικτικό για την, κατά τη διάρκεια της τελευταίας πενταετίας (2018-2022) και έως την ημερομηνία δημοσίευσης της Διακήρυξης, εκτέλεσης τουλάχιστον μίας (1) σύμβασης προμήθειας και εγκατάστασης συστήματος μίσθωσης κοινόχρηστων ποδηλάτων, όπως αναφέρεται στο Άρθρο 2.2.6α της παρούσης Διακήρυξης, απαιτείται βεβαίωση καλής εκτέλεσης από την Υπηρεσία (από Αναθέτοντες Φορείς Δημόσιου ή ευρύτερου Δημόσιου Τομέα) που παρέλαβε το σύστημα, η οποία θα αποδεικνύει την προμήθεια, εγκατάσταση και θέση σε λειτουργία αντίστοιχου συστήματος με αυτό της δημοπρατούμενης προμήθειας.</w:t>
      </w:r>
    </w:p>
    <w:bookmarkEnd w:id="43"/>
    <w:p w:rsidR="00D32247" w:rsidRPr="00D32247" w:rsidRDefault="00D32247" w:rsidP="00D32247"/>
    <w:p w:rsidR="00D32247" w:rsidRPr="00D32247" w:rsidRDefault="00D32247" w:rsidP="00D32247"/>
    <w:p w:rsidR="00D32247" w:rsidRPr="00D32247" w:rsidRDefault="00D32247" w:rsidP="00D32247">
      <w:r w:rsidRPr="00D32247">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p w:rsidR="00D32247" w:rsidRPr="00D32247" w:rsidRDefault="00D32247" w:rsidP="00D32247">
      <w:r w:rsidRPr="00D32247">
        <w:t xml:space="preserve">Β.5. 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κάτωθι πιστοποιητικά: </w:t>
      </w:r>
    </w:p>
    <w:p w:rsidR="00D32247" w:rsidRPr="00D32247" w:rsidRDefault="00D32247" w:rsidP="00D32247">
      <w:r w:rsidRPr="00D32247">
        <w:t xml:space="preserve">α) Πιστοποίηση Διασφάλισης Ποιότητας της σειράς ISO 9001:2015 </w:t>
      </w:r>
      <w:proofErr w:type="spellStart"/>
      <w:r w:rsidRPr="00D32247">
        <w:t>ή</w:t>
      </w:r>
      <w:proofErr w:type="spellEnd"/>
      <w:r w:rsidRPr="00D32247">
        <w:t xml:space="preserve"> ισοδύναμο. </w:t>
      </w:r>
    </w:p>
    <w:p w:rsidR="00D32247" w:rsidRPr="00D32247" w:rsidRDefault="00D32247" w:rsidP="00D32247">
      <w:r w:rsidRPr="00D32247">
        <w:t xml:space="preserve">β) Πιστοποίηση Συστήματος Περιβαλλοντικής Διαχείρισης κατά ISO 14001:2015 </w:t>
      </w:r>
      <w:proofErr w:type="spellStart"/>
      <w:r w:rsidRPr="00D32247">
        <w:t>ή</w:t>
      </w:r>
      <w:proofErr w:type="spellEnd"/>
      <w:r w:rsidRPr="00D32247">
        <w:t xml:space="preserve"> ισοδύναμο. </w:t>
      </w:r>
    </w:p>
    <w:p w:rsidR="00D32247" w:rsidRPr="00D32247" w:rsidRDefault="00D32247" w:rsidP="00D32247">
      <w:r w:rsidRPr="00D32247">
        <w:t xml:space="preserve">γ) Πιστοποίηση Συστήματος Ασφάλειας Πληροφοριών κατά 27001:2013 </w:t>
      </w:r>
      <w:proofErr w:type="spellStart"/>
      <w:r w:rsidRPr="00D32247">
        <w:t>ή</w:t>
      </w:r>
      <w:proofErr w:type="spellEnd"/>
      <w:r w:rsidRPr="00D32247">
        <w:t xml:space="preserve"> ισοδύναμο.</w:t>
      </w:r>
    </w:p>
    <w:p w:rsidR="00D32247" w:rsidRPr="00D32247" w:rsidRDefault="00D32247" w:rsidP="00D32247">
      <w:r w:rsidRPr="00D32247">
        <w:t xml:space="preserve">δ) </w:t>
      </w:r>
      <w:bookmarkStart w:id="44" w:name="_Hlk89280017"/>
      <w:r w:rsidRPr="00D32247">
        <w:t>Πιστοποίηση Συστήματος Διαχείρισης της Υγείας και της Ασφάλειας στην Εργασία κατά ISO 45001:2018 ή ισοδύναμο.</w:t>
      </w:r>
      <w:bookmarkEnd w:id="44"/>
    </w:p>
    <w:p w:rsidR="00D32247" w:rsidRPr="00D32247" w:rsidRDefault="00D32247" w:rsidP="00D32247">
      <w:r w:rsidRPr="00D32247">
        <w:t>Τα πιστοποιητικά θα πρέπει να έχουν εκδοθεί από επίσημα ινστιτούτα ή υπηρεσίες αναγνωρισμένων ικανοτήτων και να βρίσκονται σε ισχύ την ημερομηνία διενέργειας του διαγωνισμού.</w:t>
      </w:r>
      <w:bookmarkStart w:id="45" w:name="_Hlk66377612"/>
    </w:p>
    <w:bookmarkEnd w:id="45"/>
    <w:p w:rsidR="00D32247" w:rsidRPr="00D32247" w:rsidRDefault="00D32247" w:rsidP="00D32247">
      <w:r w:rsidRPr="00D32247">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D32247" w:rsidRPr="00D32247" w:rsidRDefault="00D32247" w:rsidP="00D32247">
      <w:r w:rsidRPr="00D32247">
        <w:t>Ειδικότερα για τους ημεδαπούς οικονομικούς φορείς προσκομίζονται:</w:t>
      </w:r>
    </w:p>
    <w:p w:rsidR="00D32247" w:rsidRPr="00D32247" w:rsidRDefault="00D32247" w:rsidP="00D32247">
      <w:r w:rsidRPr="00D32247">
        <w:t>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D32247">
        <w:footnoteReference w:id="80"/>
      </w:r>
      <w:r w:rsidRPr="00D32247">
        <w:t>, προσκομίζει σχετικό πιστοποιητικό ισχύουσας εκπροσώπησης</w:t>
      </w:r>
      <w:r w:rsidRPr="00D32247">
        <w:footnoteReference w:id="81"/>
      </w:r>
      <w:r w:rsidRPr="00D32247">
        <w:t xml:space="preserve">, το οποίο πρέπει να έχει εκδοθεί έως τριάντα (30) εργάσιμες ημέρες πριν από την υποβολή του.  </w:t>
      </w:r>
    </w:p>
    <w:p w:rsidR="00D32247" w:rsidRPr="00D32247" w:rsidRDefault="00D32247" w:rsidP="00D32247">
      <w:r w:rsidRPr="00D32247">
        <w:lastRenderedPageBreak/>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D32247" w:rsidRPr="00D32247" w:rsidRDefault="00D32247" w:rsidP="00D32247">
      <w:r w:rsidRPr="00D32247">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D32247" w:rsidRPr="00D32247" w:rsidRDefault="00D32247" w:rsidP="00D32247">
      <w:r w:rsidRPr="00D32247">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D32247" w:rsidRPr="00D32247" w:rsidRDefault="00D32247" w:rsidP="00D32247">
      <w:r w:rsidRPr="00D32247">
        <w:t xml:space="preserve">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w:t>
      </w:r>
      <w:r w:rsidRPr="00D32247">
        <w:lastRenderedPageBreak/>
        <w:t>νόμιμου εκπροσώπου, από την οποία αποδεικνύονται τα ανωτέρω ως προς τη νόμιμη σύσταση, μεταβολές και εκπροσώπηση του οικονομικού φορέα.</w:t>
      </w:r>
    </w:p>
    <w:p w:rsidR="00D32247" w:rsidRPr="00D32247" w:rsidRDefault="00D32247" w:rsidP="00D32247">
      <w:r w:rsidRPr="00D32247">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D32247" w:rsidRPr="00D32247" w:rsidRDefault="00D32247" w:rsidP="00D32247">
      <w:r w:rsidRPr="00D32247">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D32247">
        <w:t>ουν</w:t>
      </w:r>
      <w:proofErr w:type="spellEnd"/>
      <w:r w:rsidRPr="00D32247">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32247" w:rsidRPr="00D32247" w:rsidRDefault="00D32247" w:rsidP="00D32247">
      <w:r w:rsidRPr="00D32247">
        <w:t>Β.7. Οι οικονομικοί φορείς που είναι εγγεγραμμένοι σε επίσημους καταλόγους</w:t>
      </w:r>
      <w:r w:rsidRPr="00D32247">
        <w:footnoteReference w:id="82"/>
      </w:r>
      <w:r w:rsidRPr="00D32247">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32247" w:rsidRPr="00D32247" w:rsidRDefault="00D32247" w:rsidP="00D32247">
      <w:r w:rsidRPr="00D32247">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32247" w:rsidRPr="00D32247" w:rsidRDefault="00D32247" w:rsidP="00D32247">
      <w:r w:rsidRPr="00D32247">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32247" w:rsidRPr="00D32247" w:rsidRDefault="00D32247" w:rsidP="00D32247">
      <w:r w:rsidRPr="00D32247">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D32247">
        <w:t>υποπερ</w:t>
      </w:r>
      <w:proofErr w:type="spellEnd"/>
      <w:r w:rsidRPr="00D32247">
        <w:t xml:space="preserve">. i, ii και iii της </w:t>
      </w:r>
      <w:proofErr w:type="spellStart"/>
      <w:r w:rsidRPr="00D32247">
        <w:t>περ</w:t>
      </w:r>
      <w:proofErr w:type="spellEnd"/>
      <w:r w:rsidRPr="00D32247">
        <w:t>. β.</w:t>
      </w:r>
    </w:p>
    <w:p w:rsidR="00D32247" w:rsidRPr="00D32247" w:rsidRDefault="00D32247" w:rsidP="00D32247">
      <w:r w:rsidRPr="00D32247">
        <w:t xml:space="preserve">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0προβλεπόμενα στο άρθρο 19 παρ. 2 του ν. 4412/2016. </w:t>
      </w:r>
    </w:p>
    <w:p w:rsidR="00D32247" w:rsidRPr="00D32247" w:rsidRDefault="00D32247" w:rsidP="00D32247">
      <w:r w:rsidRPr="00D32247">
        <w:t>Β.9.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D32247">
        <w:tab/>
        <w:t xml:space="preserve"> </w:t>
      </w:r>
      <w:r w:rsidRPr="00D32247">
        <w:b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D32247" w:rsidRPr="00D32247" w:rsidRDefault="00D32247" w:rsidP="00D32247">
      <w:r w:rsidRPr="00D32247">
        <w:t xml:space="preserve">Β.10.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w:t>
      </w:r>
      <w:r w:rsidRPr="00D32247">
        <w:lastRenderedPageBreak/>
        <w:t xml:space="preserve">υπό μορφή υπεργολαβίας και υπεύθυνη δήλωση των υπεργολάβων ότι αποδέχονται την εκτέλεση των εργασιών. </w:t>
      </w:r>
    </w:p>
    <w:p w:rsidR="00D32247" w:rsidRPr="00D32247" w:rsidRDefault="00D32247" w:rsidP="00D32247">
      <w:r w:rsidRPr="00D32247">
        <w:t>Β.11. Επισημαίνεται ότι γίνονται αποδεκτές:</w:t>
      </w:r>
    </w:p>
    <w:p w:rsidR="00D32247" w:rsidRPr="00D32247" w:rsidRDefault="00D32247" w:rsidP="00D32247">
      <w:r w:rsidRPr="00D32247">
        <w:t xml:space="preserve">οι ένορκες βεβαιώσεις που αναφέρονται στην παρούσα Διακήρυξη, εφόσον έχουν συνταχθεί έως τρεις (3) μήνες πριν από την υποβολή τους, </w:t>
      </w:r>
    </w:p>
    <w:p w:rsidR="00D32247" w:rsidRPr="00D32247" w:rsidRDefault="00D32247" w:rsidP="00D32247">
      <w:r w:rsidRPr="00D32247">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D32247" w:rsidRPr="00D32247" w:rsidRDefault="00D32247" w:rsidP="00D32247"/>
    <w:p w:rsidR="00D32247" w:rsidRPr="00D32247" w:rsidRDefault="00D32247" w:rsidP="00D32247">
      <w:bookmarkStart w:id="46" w:name="_Toc108094101"/>
      <w:r w:rsidRPr="00D32247">
        <w:t>2.3</w:t>
      </w:r>
      <w:r w:rsidRPr="00D32247">
        <w:tab/>
        <w:t>Κριτήρια Ανάθεσης</w:t>
      </w:r>
      <w:bookmarkEnd w:id="46"/>
      <w:r w:rsidRPr="00D32247">
        <w:t xml:space="preserve">  </w:t>
      </w:r>
    </w:p>
    <w:p w:rsidR="00D32247" w:rsidRPr="00D32247" w:rsidRDefault="00D32247" w:rsidP="00D32247">
      <w:bookmarkStart w:id="47" w:name="_Toc89273006"/>
      <w:bookmarkStart w:id="48" w:name="_Toc108094102"/>
      <w:r w:rsidRPr="00D32247">
        <w:t>2.3.1</w:t>
      </w:r>
      <w:r w:rsidRPr="00D32247">
        <w:tab/>
        <w:t>Κριτήριο ανάθεσης</w:t>
      </w:r>
      <w:r w:rsidRPr="00D32247">
        <w:footnoteReference w:id="83"/>
      </w:r>
      <w:bookmarkEnd w:id="47"/>
      <w:bookmarkEnd w:id="48"/>
      <w:r w:rsidRPr="00D32247">
        <w:t xml:space="preserve"> </w:t>
      </w:r>
    </w:p>
    <w:p w:rsidR="00D32247" w:rsidRPr="00D32247" w:rsidRDefault="00D32247" w:rsidP="00D32247">
      <w:r w:rsidRPr="00D32247">
        <w:t>Κριτήριο ανάθεσης της Σύμβασης είναι η πλέον συμφέρουσα από οικονομική άποψη προσφορά, βάσει βέλτιστης σχέσης ποιότητας – τιμής</w:t>
      </w:r>
      <w:r w:rsidRPr="00D32247">
        <w:footnoteReference w:id="84"/>
      </w:r>
      <w:r w:rsidRPr="00D32247">
        <w:t xml:space="preserve">, η οποία εκτιμάται βάσει των κάτωθι κριτηρίων: </w:t>
      </w:r>
    </w:p>
    <w:p w:rsidR="00D32247" w:rsidRPr="00D32247" w:rsidRDefault="00D32247" w:rsidP="00D32247">
      <w:r w:rsidRPr="00D32247">
        <w:t>Κριτήρια Τεχνικής Αξιολόγησης (Συνολική βαρύτητα 75%) </w:t>
      </w:r>
    </w:p>
    <w:p w:rsidR="00D32247" w:rsidRPr="00D32247" w:rsidRDefault="00D32247" w:rsidP="00D32247">
      <w:r w:rsidRPr="00D32247">
        <w:t> </w:t>
      </w:r>
    </w:p>
    <w:p w:rsidR="00D32247" w:rsidRPr="00D32247" w:rsidRDefault="00D32247" w:rsidP="00D32247">
      <w:r w:rsidRPr="00D32247">
        <w:t> </w:t>
      </w:r>
    </w:p>
    <w:tbl>
      <w:tblPr>
        <w:tblW w:w="9726" w:type="dxa"/>
        <w:tblInd w:w="113" w:type="dxa"/>
        <w:tblLook w:val="04A0"/>
      </w:tblPr>
      <w:tblGrid>
        <w:gridCol w:w="1145"/>
        <w:gridCol w:w="7189"/>
        <w:gridCol w:w="1424"/>
      </w:tblGrid>
      <w:tr w:rsidR="00D32247" w:rsidRPr="00D32247" w:rsidTr="005B0B46">
        <w:trPr>
          <w:trHeight w:val="600"/>
        </w:trPr>
        <w:tc>
          <w:tcPr>
            <w:tcW w:w="107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32247" w:rsidRPr="00D32247" w:rsidRDefault="00D32247" w:rsidP="00D32247">
            <w:r w:rsidRPr="00D32247">
              <w:t>Κριτήριο </w:t>
            </w:r>
          </w:p>
        </w:tc>
        <w:tc>
          <w:tcPr>
            <w:tcW w:w="7302" w:type="dxa"/>
            <w:tcBorders>
              <w:top w:val="single" w:sz="4" w:space="0" w:color="auto"/>
              <w:left w:val="nil"/>
              <w:bottom w:val="single" w:sz="4" w:space="0" w:color="auto"/>
              <w:right w:val="single" w:sz="4" w:space="0" w:color="auto"/>
            </w:tcBorders>
            <w:shd w:val="clear" w:color="000000" w:fill="A6A6A6"/>
            <w:vAlign w:val="center"/>
            <w:hideMark/>
          </w:tcPr>
          <w:p w:rsidR="00D32247" w:rsidRPr="00D32247" w:rsidRDefault="00D32247" w:rsidP="00D32247">
            <w:r w:rsidRPr="00D32247">
              <w:t>Περιγραφή </w:t>
            </w:r>
          </w:p>
        </w:tc>
        <w:tc>
          <w:tcPr>
            <w:tcW w:w="1354" w:type="dxa"/>
            <w:tcBorders>
              <w:top w:val="single" w:sz="4" w:space="0" w:color="auto"/>
              <w:left w:val="nil"/>
              <w:bottom w:val="single" w:sz="4" w:space="0" w:color="auto"/>
              <w:right w:val="single" w:sz="4" w:space="0" w:color="auto"/>
            </w:tcBorders>
            <w:shd w:val="clear" w:color="000000" w:fill="A6A6A6"/>
            <w:vAlign w:val="center"/>
            <w:hideMark/>
          </w:tcPr>
          <w:p w:rsidR="00D32247" w:rsidRPr="00D32247" w:rsidRDefault="00D32247" w:rsidP="00D32247">
            <w:r w:rsidRPr="00D32247">
              <w:t>Συντελεστής Βαρύτητας (σ) </w:t>
            </w:r>
          </w:p>
        </w:tc>
      </w:tr>
      <w:tr w:rsidR="00D32247" w:rsidRPr="00D32247" w:rsidTr="005B0B46">
        <w:trPr>
          <w:trHeight w:val="780"/>
        </w:trPr>
        <w:tc>
          <w:tcPr>
            <w:tcW w:w="8372" w:type="dxa"/>
            <w:gridSpan w:val="2"/>
            <w:tcBorders>
              <w:top w:val="single" w:sz="4" w:space="0" w:color="auto"/>
              <w:left w:val="single" w:sz="4" w:space="0" w:color="auto"/>
              <w:bottom w:val="single" w:sz="4" w:space="0" w:color="auto"/>
              <w:right w:val="single" w:sz="4" w:space="0" w:color="000000"/>
            </w:tcBorders>
            <w:shd w:val="clear" w:color="000000" w:fill="A9D08E"/>
            <w:vAlign w:val="center"/>
            <w:hideMark/>
          </w:tcPr>
          <w:p w:rsidR="00D32247" w:rsidRPr="00D32247" w:rsidRDefault="00D32247" w:rsidP="00D32247">
            <w:r w:rsidRPr="00D32247">
              <w:t xml:space="preserve">Αξιολόγηση των ποιοτικών χαρακτηριστικών εξοπλισμού και λογισμικού. Πληρότητα- Εναρμόνιση των προδιαγραφών τους με τις προβλεπόμενες από τη διακήρυξη </w:t>
            </w:r>
          </w:p>
        </w:tc>
        <w:tc>
          <w:tcPr>
            <w:tcW w:w="1354" w:type="dxa"/>
            <w:tcBorders>
              <w:top w:val="nil"/>
              <w:left w:val="nil"/>
              <w:bottom w:val="single" w:sz="4" w:space="0" w:color="auto"/>
              <w:right w:val="single" w:sz="4" w:space="0" w:color="auto"/>
            </w:tcBorders>
            <w:shd w:val="clear" w:color="000000" w:fill="A9D08E"/>
            <w:vAlign w:val="center"/>
            <w:hideMark/>
          </w:tcPr>
          <w:p w:rsidR="00D32247" w:rsidRPr="00D32247" w:rsidRDefault="00D32247" w:rsidP="00D32247">
            <w:r w:rsidRPr="00D32247">
              <w:t>80%</w:t>
            </w:r>
          </w:p>
        </w:tc>
      </w:tr>
      <w:tr w:rsidR="00D32247" w:rsidRPr="00D32247" w:rsidTr="005B0B46">
        <w:trPr>
          <w:trHeight w:val="300"/>
        </w:trPr>
        <w:tc>
          <w:tcPr>
            <w:tcW w:w="1070" w:type="dxa"/>
            <w:tcBorders>
              <w:top w:val="nil"/>
              <w:left w:val="single" w:sz="4" w:space="0" w:color="auto"/>
              <w:bottom w:val="single" w:sz="4" w:space="0" w:color="auto"/>
              <w:right w:val="single" w:sz="4" w:space="0" w:color="auto"/>
            </w:tcBorders>
            <w:shd w:val="clear" w:color="000000" w:fill="D9D9D9"/>
            <w:vAlign w:val="center"/>
            <w:hideMark/>
          </w:tcPr>
          <w:p w:rsidR="00D32247" w:rsidRPr="00D32247" w:rsidRDefault="00D32247" w:rsidP="00D32247">
            <w:r w:rsidRPr="00D32247">
              <w:t> </w:t>
            </w:r>
          </w:p>
        </w:tc>
        <w:tc>
          <w:tcPr>
            <w:tcW w:w="7302" w:type="dxa"/>
            <w:tcBorders>
              <w:top w:val="nil"/>
              <w:left w:val="nil"/>
              <w:bottom w:val="single" w:sz="4" w:space="0" w:color="auto"/>
              <w:right w:val="single" w:sz="4" w:space="0" w:color="auto"/>
            </w:tcBorders>
            <w:shd w:val="clear" w:color="000000" w:fill="D9D9D9"/>
            <w:vAlign w:val="center"/>
            <w:hideMark/>
          </w:tcPr>
          <w:p w:rsidR="00D32247" w:rsidRPr="00D32247" w:rsidRDefault="00D32247" w:rsidP="00D32247">
            <w:r w:rsidRPr="00D32247">
              <w:t>Τερματικό Μίσθωσης Ποδηλάτων</w:t>
            </w:r>
          </w:p>
        </w:tc>
        <w:tc>
          <w:tcPr>
            <w:tcW w:w="1354" w:type="dxa"/>
            <w:tcBorders>
              <w:top w:val="nil"/>
              <w:left w:val="nil"/>
              <w:bottom w:val="single" w:sz="4" w:space="0" w:color="auto"/>
              <w:right w:val="single" w:sz="4" w:space="0" w:color="auto"/>
            </w:tcBorders>
            <w:shd w:val="clear" w:color="000000" w:fill="D9D9D9"/>
            <w:vAlign w:val="center"/>
            <w:hideMark/>
          </w:tcPr>
          <w:p w:rsidR="00D32247" w:rsidRPr="00D32247" w:rsidRDefault="00D32247" w:rsidP="00D32247">
            <w:r w:rsidRPr="00D32247">
              <w:t>13%</w:t>
            </w:r>
          </w:p>
        </w:tc>
      </w:tr>
      <w:tr w:rsidR="00D32247" w:rsidRPr="00D32247" w:rsidTr="005B0B46">
        <w:trPr>
          <w:trHeight w:val="18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Κ1</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Μέγεθος οθόνης: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 Μέγιστη διάσταση έως 15'', για λόγους εργονομίας και συνολικών εξωτερικών διαστάσεων της συσκευής.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2%</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Κ2</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Φωτεινότητα οθόνης: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4%</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Κ3</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Συχνότητα επεξεργαστή: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4%</w:t>
            </w:r>
          </w:p>
        </w:tc>
      </w:tr>
      <w:tr w:rsidR="00D32247" w:rsidRPr="00D32247" w:rsidTr="005B0B46">
        <w:trPr>
          <w:trHeight w:val="9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Κ4</w:t>
            </w:r>
          </w:p>
        </w:tc>
        <w:tc>
          <w:tcPr>
            <w:tcW w:w="7302" w:type="dxa"/>
            <w:tcBorders>
              <w:top w:val="nil"/>
              <w:left w:val="nil"/>
              <w:bottom w:val="single" w:sz="4" w:space="0" w:color="auto"/>
              <w:right w:val="single" w:sz="4" w:space="0" w:color="auto"/>
            </w:tcBorders>
            <w:shd w:val="clear" w:color="auto" w:fill="auto"/>
            <w:vAlign w:val="bottom"/>
            <w:hideMark/>
          </w:tcPr>
          <w:p w:rsidR="00D32247" w:rsidRPr="00D32247" w:rsidRDefault="00D32247" w:rsidP="00D32247">
            <w:r w:rsidRPr="00D32247">
              <w:t xml:space="preserve">Μέγεθος μνήμης: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w:t>
            </w:r>
          </w:p>
          <w:p w:rsidR="00D32247" w:rsidRPr="00D32247" w:rsidRDefault="00D32247" w:rsidP="00D32247"/>
          <w:p w:rsidR="00D32247" w:rsidRPr="00D32247" w:rsidRDefault="00D32247" w:rsidP="00D32247"/>
          <w:p w:rsidR="00D32247" w:rsidRPr="00D32247" w:rsidRDefault="00D32247" w:rsidP="00D32247"/>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lastRenderedPageBreak/>
              <w:t>3%</w:t>
            </w:r>
          </w:p>
        </w:tc>
      </w:tr>
      <w:tr w:rsidR="00D32247" w:rsidRPr="00D32247" w:rsidTr="005B0B46">
        <w:trPr>
          <w:trHeight w:val="300"/>
        </w:trPr>
        <w:tc>
          <w:tcPr>
            <w:tcW w:w="1070" w:type="dxa"/>
            <w:tcBorders>
              <w:top w:val="nil"/>
              <w:left w:val="single" w:sz="4" w:space="0" w:color="auto"/>
              <w:bottom w:val="single" w:sz="4" w:space="0" w:color="auto"/>
              <w:right w:val="single" w:sz="4" w:space="0" w:color="auto"/>
            </w:tcBorders>
            <w:shd w:val="clear" w:color="000000" w:fill="BFBFBF"/>
            <w:vAlign w:val="center"/>
            <w:hideMark/>
          </w:tcPr>
          <w:p w:rsidR="00D32247" w:rsidRPr="00D32247" w:rsidRDefault="00D32247" w:rsidP="00D32247">
            <w:r w:rsidRPr="00D32247">
              <w:lastRenderedPageBreak/>
              <w:t> </w:t>
            </w:r>
          </w:p>
        </w:tc>
        <w:tc>
          <w:tcPr>
            <w:tcW w:w="7302" w:type="dxa"/>
            <w:tcBorders>
              <w:top w:val="nil"/>
              <w:left w:val="nil"/>
              <w:bottom w:val="single" w:sz="4" w:space="0" w:color="auto"/>
              <w:right w:val="single" w:sz="4" w:space="0" w:color="auto"/>
            </w:tcBorders>
            <w:shd w:val="clear" w:color="000000" w:fill="BFBFBF"/>
            <w:vAlign w:val="bottom"/>
            <w:hideMark/>
          </w:tcPr>
          <w:p w:rsidR="00D32247" w:rsidRPr="00D32247" w:rsidRDefault="00D32247" w:rsidP="00D32247">
            <w:r w:rsidRPr="00D32247">
              <w:t>Θέση Κλειδώματος/Φόρτισης Ποδηλάτου</w:t>
            </w:r>
          </w:p>
        </w:tc>
        <w:tc>
          <w:tcPr>
            <w:tcW w:w="1354" w:type="dxa"/>
            <w:tcBorders>
              <w:top w:val="nil"/>
              <w:left w:val="nil"/>
              <w:bottom w:val="single" w:sz="4" w:space="0" w:color="auto"/>
              <w:right w:val="single" w:sz="4" w:space="0" w:color="auto"/>
            </w:tcBorders>
            <w:shd w:val="clear" w:color="000000" w:fill="BFBFBF"/>
            <w:vAlign w:val="center"/>
            <w:hideMark/>
          </w:tcPr>
          <w:p w:rsidR="00D32247" w:rsidRPr="00D32247" w:rsidRDefault="00D32247" w:rsidP="00D32247">
            <w:r w:rsidRPr="00D32247">
              <w:t>23%</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Κ5</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Πάχος υλικού κατασκευής: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4%</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Κ6</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 xml:space="preserve">Διάρκεια </w:t>
            </w:r>
            <w:proofErr w:type="spellStart"/>
            <w:r w:rsidRPr="00D32247">
              <w:t>αντισκωριακής</w:t>
            </w:r>
            <w:proofErr w:type="spellEnd"/>
            <w:r w:rsidRPr="00D32247">
              <w:t xml:space="preserve"> βαφής: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5%</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Κ7</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Κύκλοι κλειδώματος/ξεκλειδώματος: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4%</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Κ8</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Αντοχή μηχανισμού κλειδώματος: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4%</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Κ9</w:t>
            </w:r>
          </w:p>
        </w:tc>
        <w:tc>
          <w:tcPr>
            <w:tcW w:w="7302" w:type="dxa"/>
            <w:tcBorders>
              <w:top w:val="nil"/>
              <w:left w:val="nil"/>
              <w:bottom w:val="single" w:sz="4" w:space="0" w:color="auto"/>
              <w:right w:val="single" w:sz="4" w:space="0" w:color="auto"/>
            </w:tcBorders>
            <w:shd w:val="clear" w:color="auto" w:fill="auto"/>
            <w:vAlign w:val="bottom"/>
            <w:hideMark/>
          </w:tcPr>
          <w:p w:rsidR="00D32247" w:rsidRPr="00D32247" w:rsidRDefault="00D32247" w:rsidP="00D32247">
            <w:r w:rsidRPr="00D32247">
              <w:t>Προαιρετικές πιστοποιήσεις: Το κριτήριο βαθμολογείται με 100 βαθμούς εφόσον δεν παρέχονται πιστοποιήσεις και αυξάνεται αναλογικά έως τους 150 βαθμούς, εφόσον παρέχεται μέρος ή το σύνολο των προαιρετικών πιστοποιήσεων</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6%</w:t>
            </w:r>
          </w:p>
        </w:tc>
      </w:tr>
      <w:tr w:rsidR="00D32247" w:rsidRPr="00D32247" w:rsidTr="005B0B46">
        <w:trPr>
          <w:trHeight w:val="300"/>
        </w:trPr>
        <w:tc>
          <w:tcPr>
            <w:tcW w:w="1070" w:type="dxa"/>
            <w:tcBorders>
              <w:top w:val="nil"/>
              <w:left w:val="single" w:sz="4" w:space="0" w:color="auto"/>
              <w:bottom w:val="single" w:sz="4" w:space="0" w:color="auto"/>
              <w:right w:val="single" w:sz="4" w:space="0" w:color="auto"/>
            </w:tcBorders>
            <w:shd w:val="clear" w:color="000000" w:fill="BFBFBF"/>
            <w:vAlign w:val="center"/>
            <w:hideMark/>
          </w:tcPr>
          <w:p w:rsidR="00D32247" w:rsidRPr="00D32247" w:rsidRDefault="00D32247" w:rsidP="00D32247">
            <w:r w:rsidRPr="00D32247">
              <w:t> </w:t>
            </w:r>
          </w:p>
        </w:tc>
        <w:tc>
          <w:tcPr>
            <w:tcW w:w="7302" w:type="dxa"/>
            <w:tcBorders>
              <w:top w:val="nil"/>
              <w:left w:val="nil"/>
              <w:bottom w:val="single" w:sz="4" w:space="0" w:color="auto"/>
              <w:right w:val="single" w:sz="4" w:space="0" w:color="auto"/>
            </w:tcBorders>
            <w:shd w:val="clear" w:color="000000" w:fill="BFBFBF"/>
            <w:vAlign w:val="bottom"/>
            <w:hideMark/>
          </w:tcPr>
          <w:p w:rsidR="00D32247" w:rsidRPr="00D32247" w:rsidRDefault="00D32247" w:rsidP="00D32247">
            <w:r w:rsidRPr="00D32247">
              <w:t>Ηλεκτρικό Ποδήλατο</w:t>
            </w:r>
          </w:p>
        </w:tc>
        <w:tc>
          <w:tcPr>
            <w:tcW w:w="1354" w:type="dxa"/>
            <w:tcBorders>
              <w:top w:val="nil"/>
              <w:left w:val="nil"/>
              <w:bottom w:val="single" w:sz="4" w:space="0" w:color="auto"/>
              <w:right w:val="single" w:sz="4" w:space="0" w:color="auto"/>
            </w:tcBorders>
            <w:shd w:val="clear" w:color="000000" w:fill="BFBFBF"/>
            <w:vAlign w:val="center"/>
            <w:hideMark/>
          </w:tcPr>
          <w:p w:rsidR="00D32247" w:rsidRPr="00D32247" w:rsidRDefault="00D32247" w:rsidP="00D32247">
            <w:r w:rsidRPr="00D32247">
              <w:t>36%</w:t>
            </w:r>
          </w:p>
        </w:tc>
      </w:tr>
      <w:tr w:rsidR="00D32247" w:rsidRPr="00D32247" w:rsidTr="005B0B46">
        <w:trPr>
          <w:trHeight w:val="18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Κ10</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Βάρος φορτίου καλαθιού: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 Μέγιστο βάρος έως 30 κιλά, διότι τίθεται θέμα ασφαλούς οδήγησης του ποδηλάτου όταν στο καλάθι υπάρχει μεγάλο βάρος.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3%</w:t>
            </w:r>
          </w:p>
        </w:tc>
      </w:tr>
      <w:tr w:rsidR="00D32247" w:rsidRPr="00D32247" w:rsidTr="005B0B46">
        <w:trPr>
          <w:trHeight w:val="18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Κ11</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Διάσταση τροχών: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 Μέγιστη διάσταση έως 29'', διότι τίθεται θέμα ασφαλούς οδήγησης και ισορροπίας του αναβάτη.</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5%</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Κ12</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Χωρητικότητα μπαταρίας: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5%</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Κ13</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 xml:space="preserve">Μέγιστη αυτονομία σε </w:t>
            </w:r>
            <w:proofErr w:type="spellStart"/>
            <w:r w:rsidRPr="00D32247">
              <w:t>Km</w:t>
            </w:r>
            <w:proofErr w:type="spellEnd"/>
            <w:r w:rsidRPr="00D32247">
              <w:t>: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5%</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lastRenderedPageBreak/>
              <w:t>Κ14</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Χρόνος φόρτισης: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4%</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Κ15</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Βάρος ποδηλάτου: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4%</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Κ16</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Υποστήριξη προαιρετικών πρωτοκόλλων CAN 2.0 και CAN-FD: Το κριτήριο βαθμολογείται με 100 βαθμούς εφόσον δεν παρέχονται πιστοποιήσεις και αυξάνεται αναλογικά έως τους 150 βαθμούς, εφόσον παρέχεται μέρος ή το σύνολο των προαιρετικών πιστοποιήσεων.</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5%</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Κ17</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 xml:space="preserve">Προαιρετικές </w:t>
            </w:r>
            <w:proofErr w:type="spellStart"/>
            <w:r w:rsidRPr="00D32247">
              <w:t>πιστοποιήσεις:Το</w:t>
            </w:r>
            <w:proofErr w:type="spellEnd"/>
            <w:r w:rsidRPr="00D32247">
              <w:t xml:space="preserve"> κριτήριο βαθμολογείται με 100 βαθμούς εφόσον δεν παρέχονται πιστοποιήσεις και αυξάνεται αναλογικά έως τους 150 βαθμούς, εφόσον παρέχεται μέρος ή το σύνολο των προαιρετικών πιστοποιήσεων.</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5%</w:t>
            </w:r>
          </w:p>
        </w:tc>
      </w:tr>
      <w:tr w:rsidR="00D32247" w:rsidRPr="00D32247" w:rsidTr="005B0B46">
        <w:trPr>
          <w:trHeight w:val="300"/>
        </w:trPr>
        <w:tc>
          <w:tcPr>
            <w:tcW w:w="1070" w:type="dxa"/>
            <w:tcBorders>
              <w:top w:val="nil"/>
              <w:left w:val="single" w:sz="4" w:space="0" w:color="auto"/>
              <w:bottom w:val="single" w:sz="4" w:space="0" w:color="auto"/>
              <w:right w:val="single" w:sz="4" w:space="0" w:color="auto"/>
            </w:tcBorders>
            <w:shd w:val="clear" w:color="000000" w:fill="BFBFBF"/>
            <w:vAlign w:val="center"/>
            <w:hideMark/>
          </w:tcPr>
          <w:p w:rsidR="00D32247" w:rsidRPr="00D32247" w:rsidRDefault="00D32247" w:rsidP="00D32247">
            <w:r w:rsidRPr="00D32247">
              <w:t> </w:t>
            </w:r>
          </w:p>
        </w:tc>
        <w:tc>
          <w:tcPr>
            <w:tcW w:w="7302" w:type="dxa"/>
            <w:tcBorders>
              <w:top w:val="nil"/>
              <w:left w:val="nil"/>
              <w:bottom w:val="single" w:sz="4" w:space="0" w:color="auto"/>
              <w:right w:val="single" w:sz="4" w:space="0" w:color="auto"/>
            </w:tcBorders>
            <w:shd w:val="clear" w:color="000000" w:fill="BFBFBF"/>
            <w:noWrap/>
            <w:vAlign w:val="center"/>
            <w:hideMark/>
          </w:tcPr>
          <w:p w:rsidR="00D32247" w:rsidRPr="00D32247" w:rsidRDefault="00D32247" w:rsidP="00D32247">
            <w:r w:rsidRPr="00D32247">
              <w:t>Λογισμικό Διαχείρισης Συστήματος</w:t>
            </w:r>
          </w:p>
        </w:tc>
        <w:tc>
          <w:tcPr>
            <w:tcW w:w="1354" w:type="dxa"/>
            <w:tcBorders>
              <w:top w:val="nil"/>
              <w:left w:val="nil"/>
              <w:bottom w:val="single" w:sz="4" w:space="0" w:color="auto"/>
              <w:right w:val="single" w:sz="4" w:space="0" w:color="auto"/>
            </w:tcBorders>
            <w:shd w:val="clear" w:color="000000" w:fill="BFBFBF"/>
            <w:vAlign w:val="center"/>
            <w:hideMark/>
          </w:tcPr>
          <w:p w:rsidR="00D32247" w:rsidRPr="00D32247" w:rsidRDefault="00D32247" w:rsidP="00D32247">
            <w:r w:rsidRPr="00D32247">
              <w:t>2%</w:t>
            </w:r>
          </w:p>
        </w:tc>
      </w:tr>
      <w:tr w:rsidR="00D32247" w:rsidRPr="00D32247" w:rsidTr="005B0B46">
        <w:trPr>
          <w:trHeight w:val="1200"/>
        </w:trPr>
        <w:tc>
          <w:tcPr>
            <w:tcW w:w="1070" w:type="dxa"/>
            <w:tcBorders>
              <w:top w:val="nil"/>
              <w:left w:val="single" w:sz="4" w:space="0" w:color="auto"/>
              <w:bottom w:val="nil"/>
              <w:right w:val="single" w:sz="4" w:space="0" w:color="auto"/>
            </w:tcBorders>
            <w:shd w:val="clear" w:color="auto" w:fill="auto"/>
            <w:vAlign w:val="center"/>
            <w:hideMark/>
          </w:tcPr>
          <w:p w:rsidR="00D32247" w:rsidRPr="00D32247" w:rsidRDefault="00D32247" w:rsidP="00D32247">
            <w:r w:rsidRPr="00D32247">
              <w:t>Κ18</w:t>
            </w:r>
          </w:p>
        </w:tc>
        <w:tc>
          <w:tcPr>
            <w:tcW w:w="7302" w:type="dxa"/>
            <w:tcBorders>
              <w:top w:val="nil"/>
              <w:left w:val="nil"/>
              <w:bottom w:val="nil"/>
              <w:right w:val="nil"/>
            </w:tcBorders>
            <w:shd w:val="clear" w:color="auto" w:fill="auto"/>
            <w:vAlign w:val="bottom"/>
            <w:hideMark/>
          </w:tcPr>
          <w:p w:rsidR="00D32247" w:rsidRPr="00D32247" w:rsidRDefault="00D32247" w:rsidP="00D32247">
            <w:r w:rsidRPr="00D32247">
              <w:t>Άδειες χρήσης ποδηλάτων: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single" w:sz="4" w:space="0" w:color="auto"/>
              <w:bottom w:val="nil"/>
              <w:right w:val="single" w:sz="4" w:space="0" w:color="auto"/>
            </w:tcBorders>
            <w:shd w:val="clear" w:color="auto" w:fill="auto"/>
            <w:vAlign w:val="center"/>
            <w:hideMark/>
          </w:tcPr>
          <w:p w:rsidR="00D32247" w:rsidRPr="00D32247" w:rsidRDefault="00D32247" w:rsidP="00D32247">
            <w:r w:rsidRPr="00D32247">
              <w:t>2%</w:t>
            </w:r>
          </w:p>
        </w:tc>
      </w:tr>
      <w:tr w:rsidR="00D32247" w:rsidRPr="00D32247" w:rsidTr="005B0B46">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32247" w:rsidRPr="00D32247" w:rsidRDefault="00D32247" w:rsidP="00D32247">
            <w:r w:rsidRPr="00D32247">
              <w:t> </w:t>
            </w:r>
          </w:p>
        </w:tc>
        <w:tc>
          <w:tcPr>
            <w:tcW w:w="7302" w:type="dxa"/>
            <w:tcBorders>
              <w:top w:val="single" w:sz="4" w:space="0" w:color="auto"/>
              <w:left w:val="nil"/>
              <w:bottom w:val="single" w:sz="4" w:space="0" w:color="auto"/>
              <w:right w:val="single" w:sz="4" w:space="0" w:color="auto"/>
            </w:tcBorders>
            <w:shd w:val="clear" w:color="000000" w:fill="BFBFBF"/>
            <w:vAlign w:val="bottom"/>
            <w:hideMark/>
          </w:tcPr>
          <w:p w:rsidR="00D32247" w:rsidRPr="00D32247" w:rsidRDefault="00D32247" w:rsidP="00D32247">
            <w:r w:rsidRPr="00D32247">
              <w:t>Συσκευή Εγγραφής/Ανάγνωσης Καρτών Συνδρομητών</w:t>
            </w:r>
          </w:p>
        </w:tc>
        <w:tc>
          <w:tcPr>
            <w:tcW w:w="1354" w:type="dxa"/>
            <w:tcBorders>
              <w:top w:val="single" w:sz="4" w:space="0" w:color="auto"/>
              <w:left w:val="nil"/>
              <w:bottom w:val="single" w:sz="4" w:space="0" w:color="auto"/>
              <w:right w:val="single" w:sz="4" w:space="0" w:color="auto"/>
            </w:tcBorders>
            <w:shd w:val="clear" w:color="000000" w:fill="BFBFBF"/>
            <w:vAlign w:val="center"/>
            <w:hideMark/>
          </w:tcPr>
          <w:p w:rsidR="00D32247" w:rsidRPr="00D32247" w:rsidRDefault="00D32247" w:rsidP="00D32247">
            <w:r w:rsidRPr="00D32247">
              <w:t>2%</w:t>
            </w:r>
          </w:p>
        </w:tc>
      </w:tr>
      <w:tr w:rsidR="00D32247" w:rsidRPr="00D32247" w:rsidTr="005B0B46">
        <w:trPr>
          <w:trHeight w:val="1200"/>
        </w:trPr>
        <w:tc>
          <w:tcPr>
            <w:tcW w:w="1070" w:type="dxa"/>
            <w:tcBorders>
              <w:top w:val="nil"/>
              <w:left w:val="single" w:sz="4" w:space="0" w:color="auto"/>
              <w:bottom w:val="nil"/>
              <w:right w:val="single" w:sz="4" w:space="0" w:color="auto"/>
            </w:tcBorders>
            <w:shd w:val="clear" w:color="auto" w:fill="auto"/>
            <w:vAlign w:val="center"/>
            <w:hideMark/>
          </w:tcPr>
          <w:p w:rsidR="00D32247" w:rsidRPr="00D32247" w:rsidRDefault="00D32247" w:rsidP="00D32247">
            <w:r w:rsidRPr="00D32247">
              <w:t>Κ19</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Ποσότητα: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2%</w:t>
            </w:r>
          </w:p>
        </w:tc>
      </w:tr>
      <w:tr w:rsidR="00D32247" w:rsidRPr="00D32247" w:rsidTr="005B0B46">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32247" w:rsidRPr="00D32247" w:rsidRDefault="00D32247" w:rsidP="00D32247">
            <w:r w:rsidRPr="00D32247">
              <w:t> </w:t>
            </w:r>
          </w:p>
        </w:tc>
        <w:tc>
          <w:tcPr>
            <w:tcW w:w="7302" w:type="dxa"/>
            <w:tcBorders>
              <w:top w:val="nil"/>
              <w:left w:val="nil"/>
              <w:bottom w:val="single" w:sz="4" w:space="0" w:color="auto"/>
              <w:right w:val="single" w:sz="4" w:space="0" w:color="auto"/>
            </w:tcBorders>
            <w:shd w:val="clear" w:color="000000" w:fill="BFBFBF"/>
            <w:noWrap/>
            <w:vAlign w:val="center"/>
            <w:hideMark/>
          </w:tcPr>
          <w:p w:rsidR="00D32247" w:rsidRPr="00D32247" w:rsidRDefault="00D32247" w:rsidP="00D32247">
            <w:r w:rsidRPr="00D32247">
              <w:t>Υπολογιστής Έκδοσης Καρτών Συνδρομητών</w:t>
            </w:r>
          </w:p>
        </w:tc>
        <w:tc>
          <w:tcPr>
            <w:tcW w:w="1354" w:type="dxa"/>
            <w:tcBorders>
              <w:top w:val="nil"/>
              <w:left w:val="nil"/>
              <w:bottom w:val="single" w:sz="4" w:space="0" w:color="auto"/>
              <w:right w:val="single" w:sz="4" w:space="0" w:color="auto"/>
            </w:tcBorders>
            <w:shd w:val="clear" w:color="000000" w:fill="BFBFBF"/>
            <w:vAlign w:val="center"/>
            <w:hideMark/>
          </w:tcPr>
          <w:p w:rsidR="00D32247" w:rsidRPr="00D32247" w:rsidRDefault="00D32247" w:rsidP="00D32247">
            <w:r w:rsidRPr="00D32247">
              <w:t>2%</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Κ20</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Ποσότητα: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2%</w:t>
            </w:r>
          </w:p>
        </w:tc>
      </w:tr>
      <w:tr w:rsidR="00D32247" w:rsidRPr="00D32247" w:rsidTr="005B0B46">
        <w:trPr>
          <w:trHeight w:val="300"/>
        </w:trPr>
        <w:tc>
          <w:tcPr>
            <w:tcW w:w="1070" w:type="dxa"/>
            <w:tcBorders>
              <w:top w:val="nil"/>
              <w:left w:val="single" w:sz="4" w:space="0" w:color="auto"/>
              <w:bottom w:val="single" w:sz="4" w:space="0" w:color="auto"/>
              <w:right w:val="single" w:sz="4" w:space="0" w:color="auto"/>
            </w:tcBorders>
            <w:shd w:val="clear" w:color="000000" w:fill="BFBFBF"/>
            <w:vAlign w:val="center"/>
            <w:hideMark/>
          </w:tcPr>
          <w:p w:rsidR="00D32247" w:rsidRPr="00D32247" w:rsidRDefault="00D32247" w:rsidP="00D32247">
            <w:r w:rsidRPr="00D32247">
              <w:t> </w:t>
            </w:r>
          </w:p>
        </w:tc>
        <w:tc>
          <w:tcPr>
            <w:tcW w:w="7302" w:type="dxa"/>
            <w:tcBorders>
              <w:top w:val="nil"/>
              <w:left w:val="nil"/>
              <w:bottom w:val="single" w:sz="4" w:space="0" w:color="auto"/>
              <w:right w:val="single" w:sz="4" w:space="0" w:color="auto"/>
            </w:tcBorders>
            <w:shd w:val="clear" w:color="000000" w:fill="BFBFBF"/>
            <w:noWrap/>
            <w:vAlign w:val="center"/>
            <w:hideMark/>
          </w:tcPr>
          <w:p w:rsidR="00D32247" w:rsidRPr="00D32247" w:rsidRDefault="00D32247" w:rsidP="00D32247">
            <w:r w:rsidRPr="00D32247">
              <w:t>Κάμερα</w:t>
            </w:r>
          </w:p>
        </w:tc>
        <w:tc>
          <w:tcPr>
            <w:tcW w:w="1354" w:type="dxa"/>
            <w:tcBorders>
              <w:top w:val="nil"/>
              <w:left w:val="nil"/>
              <w:bottom w:val="single" w:sz="4" w:space="0" w:color="auto"/>
              <w:right w:val="single" w:sz="4" w:space="0" w:color="auto"/>
            </w:tcBorders>
            <w:shd w:val="clear" w:color="000000" w:fill="BFBFBF"/>
            <w:vAlign w:val="center"/>
            <w:hideMark/>
          </w:tcPr>
          <w:p w:rsidR="00D32247" w:rsidRPr="00D32247" w:rsidRDefault="00D32247" w:rsidP="00D32247">
            <w:r w:rsidRPr="00D32247">
              <w:t>2%</w:t>
            </w:r>
          </w:p>
        </w:tc>
      </w:tr>
      <w:tr w:rsidR="00D32247" w:rsidRPr="00D32247" w:rsidTr="005B0B46">
        <w:trPr>
          <w:trHeight w:val="12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Κ21</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Ποσότητα: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2%</w:t>
            </w:r>
          </w:p>
        </w:tc>
      </w:tr>
      <w:tr w:rsidR="00D32247" w:rsidRPr="00D32247" w:rsidTr="005B0B46">
        <w:trPr>
          <w:trHeight w:val="300"/>
        </w:trPr>
        <w:tc>
          <w:tcPr>
            <w:tcW w:w="8372" w:type="dxa"/>
            <w:gridSpan w:val="2"/>
            <w:tcBorders>
              <w:top w:val="single" w:sz="4" w:space="0" w:color="auto"/>
              <w:left w:val="single" w:sz="4" w:space="0" w:color="auto"/>
              <w:bottom w:val="single" w:sz="4" w:space="0" w:color="auto"/>
              <w:right w:val="single" w:sz="4" w:space="0" w:color="000000"/>
            </w:tcBorders>
            <w:shd w:val="clear" w:color="000000" w:fill="A9D08E"/>
            <w:vAlign w:val="center"/>
            <w:hideMark/>
          </w:tcPr>
          <w:p w:rsidR="00D32247" w:rsidRPr="00D32247" w:rsidRDefault="00D32247" w:rsidP="00D32247">
            <w:r w:rsidRPr="00D32247">
              <w:t>Χρονοδιάγραμμα υλοποίησης</w:t>
            </w:r>
          </w:p>
        </w:tc>
        <w:tc>
          <w:tcPr>
            <w:tcW w:w="1354" w:type="dxa"/>
            <w:tcBorders>
              <w:top w:val="nil"/>
              <w:left w:val="nil"/>
              <w:bottom w:val="single" w:sz="4" w:space="0" w:color="auto"/>
              <w:right w:val="single" w:sz="4" w:space="0" w:color="auto"/>
            </w:tcBorders>
            <w:shd w:val="clear" w:color="000000" w:fill="A9D08E"/>
            <w:vAlign w:val="center"/>
            <w:hideMark/>
          </w:tcPr>
          <w:p w:rsidR="00D32247" w:rsidRPr="00D32247" w:rsidRDefault="00D32247" w:rsidP="00D32247">
            <w:r w:rsidRPr="00D32247">
              <w:t>10%</w:t>
            </w:r>
          </w:p>
        </w:tc>
      </w:tr>
      <w:tr w:rsidR="00D32247" w:rsidRPr="00D32247" w:rsidTr="005B0B46">
        <w:trPr>
          <w:trHeight w:val="27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Κ22</w:t>
            </w:r>
          </w:p>
        </w:tc>
        <w:tc>
          <w:tcPr>
            <w:tcW w:w="7302" w:type="dxa"/>
            <w:tcBorders>
              <w:top w:val="nil"/>
              <w:left w:val="nil"/>
              <w:bottom w:val="nil"/>
              <w:right w:val="nil"/>
            </w:tcBorders>
            <w:shd w:val="clear" w:color="auto" w:fill="auto"/>
            <w:noWrap/>
            <w:vAlign w:val="center"/>
            <w:hideMark/>
          </w:tcPr>
          <w:p w:rsidR="00D32247" w:rsidRPr="00D32247" w:rsidRDefault="00D32247" w:rsidP="00D32247">
            <w:r w:rsidRPr="00D32247">
              <w:t xml:space="preserve">Συνολικός χρόνος υλοποίησης του έργου: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 Σημειώνεται ότι ο χρόνος υλοποίησης του έργου πρέπει να τεκμηριώνεται επαρκώς, λαμβάνοντας υπόψη τις ιδιαιτερότητες που αφορούν στους χρόνους προμήθειας και </w:t>
            </w:r>
            <w:proofErr w:type="spellStart"/>
            <w:r w:rsidRPr="00D32247">
              <w:t>εγκατάτασης</w:t>
            </w:r>
            <w:proofErr w:type="spellEnd"/>
            <w:r w:rsidRPr="00D32247">
              <w:t xml:space="preserve"> του εξοπλισμού. Η υποβολή υπερβολικά μικρών χρονοδιαγραμμάτων χωρίς αναλυτική τεκμηρίωση, αποτελούν λόγο απόρριψης της προσφοράς.</w:t>
            </w:r>
          </w:p>
        </w:tc>
        <w:tc>
          <w:tcPr>
            <w:tcW w:w="1354"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10%</w:t>
            </w:r>
          </w:p>
        </w:tc>
      </w:tr>
      <w:tr w:rsidR="00D32247" w:rsidRPr="00D32247" w:rsidTr="005B0B46">
        <w:trPr>
          <w:trHeight w:val="300"/>
        </w:trPr>
        <w:tc>
          <w:tcPr>
            <w:tcW w:w="8372" w:type="dxa"/>
            <w:gridSpan w:val="2"/>
            <w:tcBorders>
              <w:top w:val="single" w:sz="4" w:space="0" w:color="auto"/>
              <w:left w:val="single" w:sz="4" w:space="0" w:color="auto"/>
              <w:right w:val="nil"/>
            </w:tcBorders>
            <w:shd w:val="clear" w:color="000000" w:fill="A9D08E"/>
            <w:vAlign w:val="center"/>
            <w:hideMark/>
          </w:tcPr>
          <w:p w:rsidR="00D32247" w:rsidRPr="00D32247" w:rsidRDefault="00D32247" w:rsidP="00D32247">
            <w:r w:rsidRPr="00D32247">
              <w:lastRenderedPageBreak/>
              <w:t>Προσφερόμενες Υπηρεσίες</w:t>
            </w:r>
          </w:p>
        </w:tc>
        <w:tc>
          <w:tcPr>
            <w:tcW w:w="1354" w:type="dxa"/>
            <w:tcBorders>
              <w:top w:val="nil"/>
              <w:left w:val="nil"/>
              <w:right w:val="single" w:sz="4" w:space="0" w:color="auto"/>
            </w:tcBorders>
            <w:shd w:val="clear" w:color="000000" w:fill="A9D08E"/>
            <w:vAlign w:val="center"/>
            <w:hideMark/>
          </w:tcPr>
          <w:p w:rsidR="00D32247" w:rsidRPr="00D32247" w:rsidRDefault="00D32247" w:rsidP="00D32247">
            <w:r w:rsidRPr="00D32247">
              <w:t>10%</w:t>
            </w:r>
          </w:p>
        </w:tc>
      </w:tr>
      <w:tr w:rsidR="00D32247" w:rsidRPr="00D32247" w:rsidTr="005B0B46">
        <w:trPr>
          <w:trHeight w:val="1500"/>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Κ23</w:t>
            </w:r>
          </w:p>
        </w:tc>
        <w:tc>
          <w:tcPr>
            <w:tcW w:w="7302" w:type="dxa"/>
            <w:tcBorders>
              <w:top w:val="nil"/>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Διάρκεια προσφερόμενης περιόδου εγγυημένης λειτουργίας: Το κριτήριο βαθμολογείται με 100 βαθμούς όταν καλύπτεται ακριβώς η προδιαγραφή της διακήρυξης (περίοδος διάρκειας 1 έτους) και αυξάνεται αναλογικά, έως τους 150 βαθμούς, ανάλογα με τον βαθμό υπερκάλυψης της προδιαγραφής της διακήρυξης.</w:t>
            </w:r>
          </w:p>
        </w:tc>
        <w:tc>
          <w:tcPr>
            <w:tcW w:w="1354" w:type="dxa"/>
            <w:tcBorders>
              <w:top w:val="nil"/>
              <w:left w:val="nil"/>
              <w:bottom w:val="single" w:sz="4" w:space="0" w:color="auto"/>
              <w:right w:val="single" w:sz="4" w:space="0" w:color="auto"/>
            </w:tcBorders>
            <w:shd w:val="clear" w:color="auto" w:fill="auto"/>
            <w:vAlign w:val="center"/>
            <w:hideMark/>
          </w:tcPr>
          <w:p w:rsidR="00D32247" w:rsidRPr="00D32247" w:rsidRDefault="00D32247" w:rsidP="00D32247">
            <w:r w:rsidRPr="00D32247">
              <w:t>7%</w:t>
            </w:r>
          </w:p>
        </w:tc>
      </w:tr>
      <w:tr w:rsidR="00D32247" w:rsidRPr="00D32247" w:rsidTr="005B0B46">
        <w:trPr>
          <w:trHeight w:val="120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247" w:rsidRPr="00D32247" w:rsidRDefault="00D32247" w:rsidP="00D32247">
            <w:r w:rsidRPr="00D32247">
              <w:t>Κ24</w:t>
            </w:r>
          </w:p>
        </w:tc>
        <w:tc>
          <w:tcPr>
            <w:tcW w:w="7302" w:type="dxa"/>
            <w:tcBorders>
              <w:top w:val="single" w:sz="4" w:space="0" w:color="auto"/>
              <w:left w:val="nil"/>
              <w:bottom w:val="single" w:sz="4" w:space="0" w:color="auto"/>
              <w:right w:val="single" w:sz="4" w:space="0" w:color="auto"/>
            </w:tcBorders>
            <w:shd w:val="clear" w:color="auto" w:fill="auto"/>
            <w:noWrap/>
            <w:vAlign w:val="center"/>
            <w:hideMark/>
          </w:tcPr>
          <w:p w:rsidR="00D32247" w:rsidRPr="00D32247" w:rsidRDefault="00D32247" w:rsidP="00D32247">
            <w:r w:rsidRPr="00D32247">
              <w:t>Προσφερόμενες ώρες εκπαίδευσης: Το κριτήριο βαθμολογείται με 100 βαθμούς όταν καλύπτεται ακριβώς η προδιαγραφή της διακήρυξης και αυξάνεται αναλογικά, έως τους 150 βαθμούς, ανάλογα με τον βαθμό υπερκάλυψης της προδιαγραφής της διακήρυξης.</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D32247" w:rsidRPr="00D32247" w:rsidRDefault="00D32247" w:rsidP="00D32247">
            <w:r w:rsidRPr="00D32247">
              <w:t>3%</w:t>
            </w:r>
          </w:p>
        </w:tc>
      </w:tr>
      <w:tr w:rsidR="00D32247" w:rsidRPr="00D32247" w:rsidTr="005B0B46">
        <w:trPr>
          <w:trHeight w:val="300"/>
        </w:trPr>
        <w:tc>
          <w:tcPr>
            <w:tcW w:w="8372" w:type="dxa"/>
            <w:gridSpan w:val="2"/>
            <w:tcBorders>
              <w:top w:val="single" w:sz="4" w:space="0" w:color="auto"/>
              <w:left w:val="single" w:sz="4" w:space="0" w:color="auto"/>
              <w:bottom w:val="single" w:sz="4" w:space="0" w:color="auto"/>
              <w:right w:val="single" w:sz="4" w:space="0" w:color="auto"/>
            </w:tcBorders>
            <w:shd w:val="clear" w:color="000000" w:fill="AEAAAA"/>
            <w:vAlign w:val="center"/>
            <w:hideMark/>
          </w:tcPr>
          <w:p w:rsidR="00D32247" w:rsidRPr="00D32247" w:rsidRDefault="00D32247" w:rsidP="00D32247">
            <w:r w:rsidRPr="00D32247">
              <w:t>ΑΘΡΟΙΣΜΑ ΣΥΝΟΛΟΥ ΣΥΝΤΕΛΕΣΤΩΝ ΒΑΡΥΤΗΤΑΣ </w:t>
            </w:r>
          </w:p>
        </w:tc>
        <w:tc>
          <w:tcPr>
            <w:tcW w:w="1354" w:type="dxa"/>
            <w:tcBorders>
              <w:top w:val="nil"/>
              <w:left w:val="nil"/>
              <w:bottom w:val="single" w:sz="4" w:space="0" w:color="auto"/>
              <w:right w:val="single" w:sz="4" w:space="0" w:color="auto"/>
            </w:tcBorders>
            <w:shd w:val="clear" w:color="000000" w:fill="AEAAAA"/>
            <w:vAlign w:val="center"/>
            <w:hideMark/>
          </w:tcPr>
          <w:p w:rsidR="00D32247" w:rsidRPr="00D32247" w:rsidRDefault="00D32247" w:rsidP="00D32247">
            <w:r w:rsidRPr="00D32247">
              <w:t>100%</w:t>
            </w:r>
          </w:p>
        </w:tc>
      </w:tr>
    </w:tbl>
    <w:p w:rsidR="00D32247" w:rsidRPr="00D32247" w:rsidRDefault="00D32247" w:rsidP="00D32247"/>
    <w:p w:rsidR="00D32247" w:rsidRPr="00D32247" w:rsidRDefault="00D32247" w:rsidP="00D32247">
      <w:bookmarkStart w:id="49" w:name="_Toc89273007"/>
      <w:bookmarkStart w:id="50" w:name="_Toc108094103"/>
      <w:r w:rsidRPr="00D32247">
        <w:t>2.3.2</w:t>
      </w:r>
      <w:r w:rsidRPr="00D32247">
        <w:tab/>
        <w:t>Βαθμολόγηση και κατάταξη προσφορών</w:t>
      </w:r>
      <w:r w:rsidRPr="00D32247">
        <w:footnoteReference w:id="85"/>
      </w:r>
      <w:bookmarkEnd w:id="49"/>
      <w:bookmarkEnd w:id="50"/>
      <w:r w:rsidRPr="00D32247">
        <w:t xml:space="preserve"> </w:t>
      </w:r>
    </w:p>
    <w:p w:rsidR="00D32247" w:rsidRPr="00D32247" w:rsidRDefault="00D32247" w:rsidP="00D32247">
      <w:r w:rsidRPr="00D32247">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150 βαθμούς όταν υπερκαλύπτονται οι απαιτήσεις του συγκεκριμένου κριτηρίου. </w:t>
      </w:r>
    </w:p>
    <w:p w:rsidR="00D32247" w:rsidRPr="00D32247" w:rsidRDefault="00D32247" w:rsidP="00D32247">
      <w:r w:rsidRPr="00D32247">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rsidR="00D32247" w:rsidRPr="00D32247" w:rsidRDefault="00D32247" w:rsidP="00D32247">
      <w:r w:rsidRPr="00D32247">
        <w:t>Κάθε κριτήριο αξιολόγησης βαθμολογείται αυτόνομα με βάση τα στοιχεία της προσφοράς</w:t>
      </w:r>
      <w:r w:rsidRPr="00D32247">
        <w:footnoteReference w:id="86"/>
      </w:r>
      <w:r w:rsidRPr="00D32247">
        <w:t xml:space="preserve">. </w:t>
      </w:r>
    </w:p>
    <w:p w:rsidR="00D32247" w:rsidRPr="00D32247" w:rsidRDefault="00D32247" w:rsidP="00D32247">
      <w:r w:rsidRPr="00D32247">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D32247" w:rsidRPr="00D32247" w:rsidRDefault="00D32247" w:rsidP="00D32247">
      <w:r w:rsidRPr="00D32247">
        <w:t>Το άθροισμα των σχετικών συντελεστών βαρύτητας των Ομάδων κριτηρίων αξιολόγησης ανέρχεται σε κάθε περίπτωση σε 100.</w:t>
      </w:r>
    </w:p>
    <w:p w:rsidR="00D32247" w:rsidRPr="00D32247" w:rsidRDefault="00D32247" w:rsidP="00D32247">
      <w:r w:rsidRPr="00D32247">
        <w:t xml:space="preserve">Η συνολική βαθμολογία της τεχνικής προσφοράς υπολογίζεται με βάση τον παρακάτω τύπο : </w:t>
      </w:r>
    </w:p>
    <w:p w:rsidR="00D32247" w:rsidRPr="00D32247" w:rsidRDefault="00D32247" w:rsidP="00D32247">
      <w:r w:rsidRPr="00D32247">
        <w:t>U = σ1*Κ1 +σ2*Κ2+ ..+</w:t>
      </w:r>
      <w:proofErr w:type="spellStart"/>
      <w:r w:rsidRPr="00D32247">
        <w:t>σν*Κν</w:t>
      </w:r>
      <w:proofErr w:type="spellEnd"/>
      <w:r w:rsidRPr="00D32247">
        <w:t> </w:t>
      </w:r>
    </w:p>
    <w:p w:rsidR="00D32247" w:rsidRPr="00D32247" w:rsidRDefault="00D32247" w:rsidP="00D32247"/>
    <w:p w:rsidR="00D32247" w:rsidRPr="00D32247" w:rsidRDefault="00D32247" w:rsidP="00D32247">
      <w:r w:rsidRPr="00D32247">
        <w:t>όπου: «σν» είναι ο συντελεστής βαρύτητας του κριτηρίου ανάθεσης </w:t>
      </w:r>
      <w:proofErr w:type="spellStart"/>
      <w:r w:rsidRPr="00D32247">
        <w:t>Κν</w:t>
      </w:r>
      <w:proofErr w:type="spellEnd"/>
      <w:r w:rsidRPr="00D32247">
        <w:t> και ισχύει σ1+σ2+..σν=1. </w:t>
      </w:r>
    </w:p>
    <w:p w:rsidR="00D32247" w:rsidRPr="00D32247" w:rsidRDefault="00D32247" w:rsidP="00D32247"/>
    <w:p w:rsidR="00D32247" w:rsidRPr="00D32247" w:rsidRDefault="00D32247" w:rsidP="00D32247">
      <w:r w:rsidRPr="00D32247">
        <w:t>Μετά την ολοκλήρωση της τεχνικής και οικονομικής αξιολόγησης κατά τα προηγούμενα, η Επιτροπή Διαγωνισμού κατατάσσει τις προσφορές σε Συγκριτικό Πίνακα, κατά φθίνουσα σειρά του τελικού βαθμού: </w:t>
      </w:r>
    </w:p>
    <w:p w:rsidR="00D32247" w:rsidRPr="00D32247" w:rsidRDefault="00D32247" w:rsidP="00D32247"/>
    <w:p w:rsidR="00D32247" w:rsidRPr="00D32247" w:rsidRDefault="00D32247" w:rsidP="00D32247">
      <w:pPr>
        <w:rPr>
          <w:lang w:val="en-US"/>
        </w:rPr>
      </w:pPr>
      <w:r w:rsidRPr="00D32247">
        <w:t>Β</w:t>
      </w:r>
      <w:r w:rsidRPr="00D32247">
        <w:rPr>
          <w:lang w:val="en-US"/>
        </w:rPr>
        <w:t>=0,75*(UT/UMAX) + 0,25*(BMIN/BK) </w:t>
      </w:r>
    </w:p>
    <w:p w:rsidR="00D32247" w:rsidRPr="00D32247" w:rsidRDefault="00D32247" w:rsidP="00D32247">
      <w:pPr>
        <w:rPr>
          <w:lang w:val="en-US"/>
        </w:rPr>
      </w:pPr>
    </w:p>
    <w:p w:rsidR="00D32247" w:rsidRPr="00D32247" w:rsidRDefault="00D32247" w:rsidP="00D32247">
      <w:r w:rsidRPr="00D32247">
        <w:t>Όπου: </w:t>
      </w:r>
    </w:p>
    <w:p w:rsidR="00D32247" w:rsidRPr="00D32247" w:rsidRDefault="00D32247" w:rsidP="00D32247">
      <w:r w:rsidRPr="00D32247">
        <w:t>Β= ο τελικός βαθμός της προσφοράς </w:t>
      </w:r>
    </w:p>
    <w:p w:rsidR="00D32247" w:rsidRPr="00D32247" w:rsidRDefault="00D32247" w:rsidP="00D32247">
      <w:r w:rsidRPr="00D32247">
        <w:t>UT= ο βαθμός τεχνικής αξιολόγησης της προσφοράς του υποψήφιου αναδόχου  </w:t>
      </w:r>
    </w:p>
    <w:p w:rsidR="00D32247" w:rsidRPr="00D32247" w:rsidRDefault="00D32247" w:rsidP="00D32247">
      <w:r w:rsidRPr="00D32247">
        <w:t>UMAX= ο βαθμός τεχνικής αξιολόγησης της καλύτερης τεχνικής προσφοράς </w:t>
      </w:r>
    </w:p>
    <w:p w:rsidR="00D32247" w:rsidRPr="00D32247" w:rsidRDefault="00D32247" w:rsidP="00D32247">
      <w:r w:rsidRPr="00D32247">
        <w:t>ΒΚ= το συνολικό κόστος της οικονομικής προσφοράς του υποψήφιου αναδόχου  </w:t>
      </w:r>
    </w:p>
    <w:p w:rsidR="00D32247" w:rsidRPr="00D32247" w:rsidRDefault="00D32247" w:rsidP="00D32247">
      <w:r w:rsidRPr="00D32247">
        <w:t>ΒΜΙΝ= το συνολικό κόστος της χαμηλότερης οικονομικής προσφοράς. </w:t>
      </w:r>
    </w:p>
    <w:p w:rsidR="00D32247" w:rsidRPr="00D32247" w:rsidRDefault="00D32247" w:rsidP="00D32247"/>
    <w:p w:rsidR="00D32247" w:rsidRPr="00D32247" w:rsidRDefault="00D32247" w:rsidP="00D32247">
      <w:r w:rsidRPr="00D32247">
        <w:t>Η πρώτη στο συγκριτικό πίνακα κατάταξης, δηλαδή η προσφορά εκείνη με το μεγαλύτερο βαθμό Β, θεωρείται η πλέον συμφέρουσα από οικονομική άποψη προσφορά. </w:t>
      </w:r>
    </w:p>
    <w:p w:rsidR="00D32247" w:rsidRPr="00D32247" w:rsidRDefault="00D32247" w:rsidP="00D32247">
      <w:bookmarkStart w:id="51" w:name="_Toc108094104"/>
      <w:r w:rsidRPr="00D32247">
        <w:t>2.4</w:t>
      </w:r>
      <w:r w:rsidRPr="00D32247">
        <w:tab/>
        <w:t>Κατάρτιση - Περιεχόμενο Προσφορών</w:t>
      </w:r>
      <w:bookmarkEnd w:id="51"/>
    </w:p>
    <w:p w:rsidR="00D32247" w:rsidRPr="00D32247" w:rsidRDefault="00D32247" w:rsidP="00D32247">
      <w:bookmarkStart w:id="52" w:name="_Toc108094105"/>
      <w:r w:rsidRPr="00D32247">
        <w:lastRenderedPageBreak/>
        <w:t>2.4.1</w:t>
      </w:r>
      <w:r w:rsidRPr="00D32247">
        <w:tab/>
        <w:t>Γενικοί όροι υποβολής προσφορών</w:t>
      </w:r>
      <w:bookmarkEnd w:id="52"/>
    </w:p>
    <w:p w:rsidR="00D32247" w:rsidRPr="00D32247" w:rsidRDefault="00D32247" w:rsidP="00D32247">
      <w:r w:rsidRPr="00D32247">
        <w:t xml:space="preserve">Οι προσφορές υποβάλλονται με βάση τις απαιτήσεις που ορίζονται στο Παράρτημα Ι της Διακήρυξης, για το σύνολο της </w:t>
      </w:r>
      <w:proofErr w:type="spellStart"/>
      <w:r w:rsidRPr="00D32247">
        <w:t>προκηρυχθείσας</w:t>
      </w:r>
      <w:proofErr w:type="spellEnd"/>
      <w:r w:rsidRPr="00D32247">
        <w:t xml:space="preserve"> ποσότητας της προμήθειας ανά είδος /τμήμα. </w:t>
      </w:r>
    </w:p>
    <w:p w:rsidR="00D32247" w:rsidRPr="00D32247" w:rsidRDefault="00D32247" w:rsidP="00D32247">
      <w:r w:rsidRPr="00D32247">
        <w:t>Δεν επιτρέπονται εναλλακτικές προσφορές.</w:t>
      </w:r>
    </w:p>
    <w:p w:rsidR="00D32247" w:rsidRPr="00D32247" w:rsidRDefault="00D32247" w:rsidP="00D32247">
      <w:r w:rsidRPr="00D32247">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D32247">
        <w:footnoteReference w:id="87"/>
      </w:r>
      <w:r w:rsidRPr="00D32247">
        <w:t>.</w:t>
      </w:r>
    </w:p>
    <w:p w:rsidR="00D32247" w:rsidRPr="00D32247" w:rsidRDefault="00D32247" w:rsidP="00D32247">
      <w:r w:rsidRPr="00D32247">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D32247">
        <w:footnoteReference w:id="88"/>
      </w:r>
    </w:p>
    <w:p w:rsidR="00D32247" w:rsidRPr="00D32247" w:rsidRDefault="00D32247" w:rsidP="00D32247">
      <w:bookmarkStart w:id="53" w:name="_Toc108094106"/>
      <w:r w:rsidRPr="00D32247">
        <w:t>2.4.2</w:t>
      </w:r>
      <w:r w:rsidRPr="00D32247">
        <w:tab/>
        <w:t>Χρόνος και Τρόπος υποβολής προσφορών</w:t>
      </w:r>
      <w:bookmarkEnd w:id="53"/>
      <w:r w:rsidRPr="00D32247">
        <w:t xml:space="preserve"> </w:t>
      </w:r>
    </w:p>
    <w:p w:rsidR="00D32247" w:rsidRPr="00D32247" w:rsidRDefault="00D32247" w:rsidP="00D32247"/>
    <w:p w:rsidR="00D32247" w:rsidRPr="00D32247" w:rsidRDefault="00D32247" w:rsidP="00D32247">
      <w:r w:rsidRPr="00D32247">
        <w:t xml:space="preserve">2.4.2.1.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proofErr w:type="spellStart"/>
      <w:r w:rsidRPr="00D32247">
        <w:t>υπ΄αριθμ</w:t>
      </w:r>
      <w:proofErr w:type="spellEnd"/>
      <w:r w:rsidRPr="00D32247">
        <w:t xml:space="preserve">.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D32247" w:rsidRPr="00D32247" w:rsidRDefault="00D32247" w:rsidP="00D32247">
      <w:r w:rsidRPr="00D32247">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D32247">
        <w:t>πάροχο</w:t>
      </w:r>
      <w:proofErr w:type="spellEnd"/>
      <w:r w:rsidRPr="00D32247">
        <w:t xml:space="preserve"> υπηρεσιών πιστοποίησης, ο οποίος περιλαμβάνεται στον κατάλογο </w:t>
      </w:r>
      <w:proofErr w:type="spellStart"/>
      <w:r w:rsidRPr="00D32247">
        <w:t>εμπίστευσης</w:t>
      </w:r>
      <w:proofErr w:type="spellEnd"/>
      <w:r w:rsidRPr="00D32247">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D32247">
        <w:t>περ</w:t>
      </w:r>
      <w:proofErr w:type="spellEnd"/>
      <w:r w:rsidRPr="00D32247">
        <w:t xml:space="preserve">. β της παρ. 2 του άρθρου 37 του ν. 4412/2016 και τις διατάξεις του άρθρου 6 της Κ.Υ.Α. ΕΣΗΔΗΣ Προμήθειες και Υπηρεσίες. </w:t>
      </w:r>
    </w:p>
    <w:p w:rsidR="00D32247" w:rsidRPr="00D32247" w:rsidRDefault="00D32247" w:rsidP="00D32247"/>
    <w:p w:rsidR="00D32247" w:rsidRPr="00D32247" w:rsidRDefault="00D32247" w:rsidP="00D32247">
      <w:r w:rsidRPr="00D32247">
        <w:t>2.4.2.2.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D32247" w:rsidRPr="00D32247" w:rsidRDefault="00D32247" w:rsidP="00D32247">
      <w:r w:rsidRPr="00D32247">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D32247">
        <w:footnoteReference w:id="89"/>
      </w:r>
    </w:p>
    <w:p w:rsidR="00D32247" w:rsidRPr="00D32247" w:rsidRDefault="00D32247" w:rsidP="00D32247"/>
    <w:p w:rsidR="00D32247" w:rsidRPr="00D32247" w:rsidRDefault="00D32247" w:rsidP="00D32247">
      <w:r w:rsidRPr="00D32247">
        <w:t xml:space="preserve">2.4.2.3.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D32247" w:rsidRPr="00D32247" w:rsidRDefault="00D32247" w:rsidP="00D32247">
      <w:r w:rsidRPr="00D32247">
        <w:t>(α) έναν ηλεκτρονικό (</w:t>
      </w:r>
      <w:proofErr w:type="spellStart"/>
      <w:r w:rsidRPr="00D32247">
        <w:t>υπο</w:t>
      </w:r>
      <w:proofErr w:type="spellEnd"/>
      <w:r w:rsidRPr="00D32247">
        <w:t xml:space="preserve">)φάκελο με την ένδειξη «Δικαιολογητικά </w:t>
      </w:r>
      <w:proofErr w:type="spellStart"/>
      <w:r w:rsidRPr="00D32247">
        <w:t>Συμμετοχής–Τεχνική</w:t>
      </w:r>
      <w:proofErr w:type="spellEnd"/>
      <w:r w:rsidRPr="00D32247">
        <w:t xml:space="preserve">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D32247" w:rsidRPr="00D32247" w:rsidRDefault="00D32247" w:rsidP="00D32247">
      <w:r w:rsidRPr="00D32247">
        <w:lastRenderedPageBreak/>
        <w:t>(β) έναν ηλεκτρονικό (</w:t>
      </w:r>
      <w:proofErr w:type="spellStart"/>
      <w:r w:rsidRPr="00D32247">
        <w:t>υπο</w:t>
      </w:r>
      <w:proofErr w:type="spellEnd"/>
      <w:r w:rsidRPr="00D32247">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D32247" w:rsidRPr="00D32247" w:rsidRDefault="00D32247" w:rsidP="00D32247">
      <w:r w:rsidRPr="00D32247">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D32247" w:rsidRPr="00D32247" w:rsidRDefault="00D32247" w:rsidP="00D32247">
      <w:r w:rsidRPr="00D32247">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D32247" w:rsidRPr="00D32247" w:rsidRDefault="00D32247" w:rsidP="00D32247">
      <w:r w:rsidRPr="00D32247">
        <w:t xml:space="preserve">2.4.2.4. Εφόσον οι Οικονομικοί Φορείς καταχωρίσουν τα στοιχεία, </w:t>
      </w:r>
      <w:proofErr w:type="spellStart"/>
      <w:r w:rsidRPr="00D32247">
        <w:t>μεταδεδομένα</w:t>
      </w:r>
      <w:proofErr w:type="spellEnd"/>
      <w:r w:rsidRPr="00D32247">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D32247">
        <w:t>μορφότυπο</w:t>
      </w:r>
      <w:proofErr w:type="spellEnd"/>
      <w:r w:rsidRPr="00D32247">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D32247">
        <w:t>περ</w:t>
      </w:r>
      <w:proofErr w:type="spellEnd"/>
      <w:r w:rsidRPr="00D32247">
        <w:t xml:space="preserve">. β της παρ. 2 του άρθρου 37) και επισυνάπτονται από τον Οικονομικό Φορέα στους αντίστοιχους </w:t>
      </w:r>
      <w:proofErr w:type="spellStart"/>
      <w:r w:rsidRPr="00D32247">
        <w:t>υποφακέλους</w:t>
      </w:r>
      <w:proofErr w:type="spellEnd"/>
      <w:r w:rsidRPr="00D32247">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D32247">
        <w:t>υποφακέλο</w:t>
      </w:r>
      <w:proofErr w:type="spellEnd"/>
      <w:r w:rsidRPr="00D32247">
        <w:t xml:space="preserve">  ξεχωριστά, από τη στιγμή που έχει ολοκληρωθεί η καταχώριση των στοιχείων σε αυτόν</w:t>
      </w:r>
      <w:r w:rsidRPr="00D32247">
        <w:footnoteReference w:id="90"/>
      </w:r>
      <w:r w:rsidRPr="00D32247">
        <w:t xml:space="preserve">.  </w:t>
      </w:r>
    </w:p>
    <w:p w:rsidR="00D32247" w:rsidRPr="00D32247" w:rsidRDefault="00D32247" w:rsidP="00D32247"/>
    <w:p w:rsidR="00D32247" w:rsidRPr="00D32247" w:rsidRDefault="00D32247" w:rsidP="00D32247">
      <w:r w:rsidRPr="00D32247">
        <w:t>2.4.2.5. Ειδικότερα, όσον αφορά τα συνημμένα ηλεκτρονικά αρχεία της προσφοράς, οι Οικονομικοί Φορείς τα καταχωρίζουν στους ανωτέρω (</w:t>
      </w:r>
      <w:proofErr w:type="spellStart"/>
      <w:r w:rsidRPr="00D32247">
        <w:t>υπο</w:t>
      </w:r>
      <w:proofErr w:type="spellEnd"/>
      <w:r w:rsidRPr="00D32247">
        <w:t>)φακέλους μέσω του Υποσυστήματος, ως εξής :</w:t>
      </w:r>
    </w:p>
    <w:p w:rsidR="00D32247" w:rsidRPr="00D32247" w:rsidRDefault="00D32247" w:rsidP="00D32247">
      <w:bookmarkStart w:id="54" w:name="_Hlk71366084"/>
      <w:r w:rsidRPr="00D32247">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D32247" w:rsidRPr="00D32247" w:rsidRDefault="00D32247" w:rsidP="00D32247">
      <w:r w:rsidRPr="00D32247">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D32247">
        <w:t>Apostille</w:t>
      </w:r>
      <w:proofErr w:type="spellEnd"/>
      <w:r w:rsidRPr="00D32247">
        <w:t xml:space="preserve"> </w:t>
      </w:r>
    </w:p>
    <w:p w:rsidR="00D32247" w:rsidRPr="00D32247" w:rsidRDefault="00D32247" w:rsidP="00D32247">
      <w:r w:rsidRPr="00D32247">
        <w:t>β) είτε των άρθρων 15 και 27</w:t>
      </w:r>
      <w:r w:rsidRPr="00D32247">
        <w:footnoteReference w:id="91"/>
      </w:r>
      <w:r w:rsidRPr="00D32247">
        <w:t xml:space="preserve"> του ν. 4727/2020 (Α΄ 184) περί ηλεκτρονικών ιδιωτικών εγγράφων που φέρουν ηλεκτρονική υπογραφή ή σφραγίδα </w:t>
      </w:r>
    </w:p>
    <w:p w:rsidR="00D32247" w:rsidRPr="00D32247" w:rsidRDefault="00D32247" w:rsidP="00D32247">
      <w:r w:rsidRPr="00D32247">
        <w:t>γ) είτε του άρθρου 11 του ν. 2690/1999 (Α΄ 45),</w:t>
      </w:r>
    </w:p>
    <w:p w:rsidR="00D32247" w:rsidRPr="00D32247" w:rsidRDefault="00D32247" w:rsidP="00D32247">
      <w:r w:rsidRPr="00D32247">
        <w:lastRenderedPageBreak/>
        <w:t xml:space="preserve">δ) είτε της παρ. 2 του άρθρου 37 του ν. 4412/2016, περί χρήσης ηλεκτρονικών υπογραφών σε ηλεκτρονικές διαδικασίες δημοσίων συμβάσεων,  </w:t>
      </w:r>
    </w:p>
    <w:p w:rsidR="00D32247" w:rsidRPr="00D32247" w:rsidRDefault="00D32247" w:rsidP="00D32247">
      <w:r w:rsidRPr="00D32247">
        <w:t xml:space="preserve">ε) είτε της παρ. 8 του άρθρου 92 του ν. 4412/2016, περί </w:t>
      </w:r>
      <w:proofErr w:type="spellStart"/>
      <w:r w:rsidRPr="00D32247">
        <w:t>συνυποβολής</w:t>
      </w:r>
      <w:proofErr w:type="spellEnd"/>
      <w:r w:rsidRPr="00D32247">
        <w:t xml:space="preserve"> υπεύθυνης δήλωσης στην περίπτωση απλής φωτοτυπίας ιδιωτικών εγγράφων. </w:t>
      </w:r>
      <w:r w:rsidRPr="00D32247">
        <w:footnoteReference w:id="92"/>
      </w:r>
    </w:p>
    <w:p w:rsidR="00D32247" w:rsidRPr="00D32247" w:rsidRDefault="00D32247" w:rsidP="00D32247">
      <w:r w:rsidRPr="00D32247">
        <w:t>Επιπλέον, δεν προσκομίζονται σε έντυπη μορφή τα ΦΕΚ</w:t>
      </w:r>
      <w:r w:rsidRPr="00D32247">
        <w:footnoteReference w:id="93"/>
      </w:r>
      <w:r w:rsidRPr="00D32247">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D32247" w:rsidRPr="00D32247" w:rsidRDefault="00D32247" w:rsidP="00D32247">
      <w:r w:rsidRPr="00D32247">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D32247">
        <w:t>μορφότυπο</w:t>
      </w:r>
      <w:proofErr w:type="spellEnd"/>
      <w:r w:rsidRPr="00D32247">
        <w:t xml:space="preserve"> PDF. </w:t>
      </w:r>
      <w:bookmarkEnd w:id="54"/>
    </w:p>
    <w:p w:rsidR="00D32247" w:rsidRPr="00D32247" w:rsidRDefault="00D32247" w:rsidP="00D32247">
      <w:r w:rsidRPr="00D32247">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D32247">
        <w:t>ούς</w:t>
      </w:r>
      <w:proofErr w:type="spellEnd"/>
      <w:r w:rsidRPr="00D32247">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D32247">
        <w:rPr>
          <w:rFonts w:eastAsia="Calibri"/>
        </w:rPr>
        <w:t xml:space="preserve"> </w:t>
      </w:r>
      <w:r w:rsidRPr="00D32247">
        <w:t>Τέτοια στοιχεία και δικαιολογητικά ενδεικτικά είναι :</w:t>
      </w:r>
    </w:p>
    <w:p w:rsidR="00D32247" w:rsidRPr="00D32247" w:rsidRDefault="00D32247" w:rsidP="00D32247">
      <w:r w:rsidRPr="00D32247">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D32247" w:rsidRPr="00D32247" w:rsidRDefault="00D32247" w:rsidP="00D32247">
      <w:r w:rsidRPr="00D32247">
        <w:t>β) αυτά που δεν υπάγονται στις διατάξεις του άρθρου 11 παρ. 2 του ν. 2690/1999</w:t>
      </w:r>
      <w:r w:rsidRPr="00D32247">
        <w:footnoteReference w:id="94"/>
      </w:r>
      <w:r w:rsidRPr="00D32247">
        <w:t xml:space="preserve">, </w:t>
      </w:r>
    </w:p>
    <w:p w:rsidR="00D32247" w:rsidRPr="00D32247" w:rsidRDefault="00D32247" w:rsidP="00D32247">
      <w:r w:rsidRPr="00D32247">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D32247" w:rsidRPr="00D32247" w:rsidRDefault="00D32247" w:rsidP="00D32247">
      <w:r w:rsidRPr="00D32247">
        <w:t>δ) τα αλλοδαπά δημόσια έντυπα έγγραφα που φέρουν την επισημείωση της Χάγης (</w:t>
      </w:r>
      <w:proofErr w:type="spellStart"/>
      <w:r w:rsidRPr="00D32247">
        <w:t>Apostille</w:t>
      </w:r>
      <w:proofErr w:type="spellEnd"/>
      <w:r w:rsidRPr="00D32247">
        <w:t>), ή προξενική θεώρηση και δεν έχουν επικυρωθεί  από δικηγόρο</w:t>
      </w:r>
      <w:r w:rsidRPr="00D32247">
        <w:footnoteReference w:id="95"/>
      </w:r>
      <w:r w:rsidRPr="00D32247">
        <w:t xml:space="preserve">. </w:t>
      </w:r>
    </w:p>
    <w:p w:rsidR="00D32247" w:rsidRPr="00D32247" w:rsidRDefault="00D32247" w:rsidP="00D32247">
      <w:r w:rsidRPr="00D32247">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D32247" w:rsidRPr="00D32247" w:rsidRDefault="00D32247" w:rsidP="00D32247">
      <w:r w:rsidRPr="00D32247">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D32247">
        <w:t>Apostille</w:t>
      </w:r>
      <w:proofErr w:type="spellEnd"/>
      <w:r w:rsidRPr="00D32247">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D32247" w:rsidRPr="00D32247" w:rsidRDefault="00D32247" w:rsidP="00D32247">
      <w:r w:rsidRPr="00D32247">
        <w:lastRenderedPageBreak/>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D32247">
        <w:t>περ</w:t>
      </w:r>
      <w:proofErr w:type="spellEnd"/>
      <w:r w:rsidRPr="00D32247">
        <w:t>. β του άρθρου 11 του ν. 2690/1999 “Κώδικας Διοικητικής Διαδικασίας”, όπως αντικαταστάθηκε ως άνω με το άρθρο 1 παρ.2 του ν.4250/2014.</w:t>
      </w:r>
    </w:p>
    <w:p w:rsidR="00D32247" w:rsidRPr="00D32247" w:rsidRDefault="00D32247" w:rsidP="00D32247">
      <w:r w:rsidRPr="00D32247">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D32247" w:rsidRPr="00D32247" w:rsidRDefault="00D32247" w:rsidP="00D32247">
      <w:bookmarkStart w:id="55" w:name="_Toc108094107"/>
      <w:r w:rsidRPr="00D32247">
        <w:t>2.4.3</w:t>
      </w:r>
      <w:r w:rsidRPr="00D32247">
        <w:tab/>
        <w:t>Περιεχόμενα Φακέλου «Δικαιολογητικά Συμμετοχής- Τεχνική Προσφορά»</w:t>
      </w:r>
      <w:bookmarkEnd w:id="55"/>
      <w:r w:rsidRPr="00D32247">
        <w:t xml:space="preserve"> </w:t>
      </w:r>
    </w:p>
    <w:p w:rsidR="00D32247" w:rsidRPr="00D32247" w:rsidRDefault="00D32247" w:rsidP="00D32247">
      <w:bookmarkStart w:id="56" w:name="_Toc108094108"/>
      <w:r w:rsidRPr="00D32247">
        <w:t>2.4.3.1 Δικαιολογητικά Συμμετοχής</w:t>
      </w:r>
      <w:bookmarkEnd w:id="56"/>
      <w:r w:rsidRPr="00D32247">
        <w:t xml:space="preserve"> </w:t>
      </w:r>
    </w:p>
    <w:p w:rsidR="00D32247" w:rsidRPr="00D32247" w:rsidRDefault="00D32247" w:rsidP="00D32247">
      <w:r w:rsidRPr="00D32247">
        <w:t>Τα στοιχεία και δικαιολογητικά για την συμμετοχή των προσφερόντων στη διαγωνιστική διαδικασία περιλαμβάνουν με ποινή αποκλεισμού</w:t>
      </w:r>
      <w:r w:rsidRPr="00D32247">
        <w:footnoteReference w:id="96"/>
      </w:r>
      <w:r w:rsidRPr="00D32247">
        <w:t xml:space="preserve"> τα ακόλουθα υπό α, β και γ στοιχεία: </w:t>
      </w:r>
      <w:r w:rsidRPr="00D32247">
        <w:br/>
        <w:t xml:space="preserve">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r w:rsidRPr="00D32247">
        <w:br/>
        <w:t xml:space="preserve">β) την εγγύηση συμμετοχής, όπως προβλέπεται στο άρθρο 72 του Ν.4412/2016 και τις παραγράφους 2.1.5 και 2.2.2 αντίστοιχα της παρούσας διακήρυξης. </w:t>
      </w:r>
    </w:p>
    <w:p w:rsidR="00D32247" w:rsidRPr="00D32247" w:rsidRDefault="00D32247" w:rsidP="00D32247">
      <w:r w:rsidRPr="00D32247">
        <w:t xml:space="preserve">γ) υπεύθυνη δήλωση με το περιεχόμενο που προβλέπεται στον όρο 2.2.9.2.Β1.ε </w:t>
      </w:r>
    </w:p>
    <w:p w:rsidR="00D32247" w:rsidRPr="00D32247" w:rsidRDefault="00D32247" w:rsidP="00D32247"/>
    <w:p w:rsidR="00D32247" w:rsidRPr="00D32247" w:rsidRDefault="00D32247" w:rsidP="00D32247">
      <w:r w:rsidRPr="00D32247">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D32247" w:rsidRPr="00D32247" w:rsidRDefault="00D32247" w:rsidP="00D32247">
      <w:r w:rsidRPr="00D32247">
        <w:t xml:space="preserve">Η συμπλήρωσή του δύναται να πραγματοποιηθεί με χρήση του υποσυστήματος </w:t>
      </w:r>
      <w:proofErr w:type="spellStart"/>
      <w:r w:rsidRPr="00D32247">
        <w:t>Promitheus</w:t>
      </w:r>
      <w:proofErr w:type="spellEnd"/>
      <w:r w:rsidRPr="00D32247">
        <w:t xml:space="preserve"> </w:t>
      </w:r>
      <w:proofErr w:type="spellStart"/>
      <w:r w:rsidRPr="00D32247">
        <w:t>ESPDint</w:t>
      </w:r>
      <w:proofErr w:type="spellEnd"/>
      <w:r w:rsidRPr="00D32247">
        <w:t xml:space="preserve">, </w:t>
      </w:r>
      <w:proofErr w:type="spellStart"/>
      <w:r w:rsidRPr="00D32247">
        <w:t>προσβάσιμου</w:t>
      </w:r>
      <w:proofErr w:type="spellEnd"/>
      <w:r w:rsidRPr="00D32247">
        <w:t xml:space="preserve"> μέσω της Διαδικτυακής Πύλης (</w:t>
      </w:r>
      <w:hyperlink r:id="rId14" w:history="1">
        <w:r w:rsidRPr="00D32247">
          <w:t>www.promitheus.gov.gr</w:t>
        </w:r>
      </w:hyperlink>
      <w:r w:rsidRPr="00D32247">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D32247">
        <w:t>μορφότυπο</w:t>
      </w:r>
      <w:proofErr w:type="spellEnd"/>
      <w:r w:rsidRPr="00D32247">
        <w:t xml:space="preserve"> XML που αποτελεί επικουρικό στοιχείο των εγγράφων της σύμβασης.</w:t>
      </w:r>
    </w:p>
    <w:p w:rsidR="00D32247" w:rsidRPr="00D32247" w:rsidRDefault="00D32247" w:rsidP="00D32247">
      <w:r w:rsidRPr="00D32247">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D32247">
        <w:t>μορφότυπο</w:t>
      </w:r>
      <w:proofErr w:type="spellEnd"/>
      <w:r w:rsidRPr="00D32247">
        <w:t xml:space="preserve"> PDF.</w:t>
      </w:r>
    </w:p>
    <w:p w:rsidR="00D32247" w:rsidRPr="00D32247" w:rsidRDefault="00D32247" w:rsidP="00D32247"/>
    <w:p w:rsidR="00D32247" w:rsidRPr="00D32247" w:rsidRDefault="00D32247" w:rsidP="00D32247">
      <w:bookmarkStart w:id="57" w:name="_Toc108094109"/>
      <w:r w:rsidRPr="00D32247">
        <w:t>2.4.3.2 Τεχνική προσφορά</w:t>
      </w:r>
      <w:bookmarkEnd w:id="57"/>
    </w:p>
    <w:p w:rsidR="00D32247" w:rsidRPr="00D32247" w:rsidRDefault="00D32247" w:rsidP="00D32247">
      <w:r w:rsidRPr="00D32247">
        <w:t>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D32247">
        <w:footnoteReference w:id="97"/>
      </w:r>
      <w:r w:rsidRPr="00D32247">
        <w:t xml:space="preserve"> </w:t>
      </w:r>
      <w:r w:rsidRPr="00D32247">
        <w:footnoteReference w:id="98"/>
      </w:r>
      <w:r w:rsidRPr="00D32247">
        <w:t xml:space="preserve">. </w:t>
      </w:r>
    </w:p>
    <w:p w:rsidR="00D32247" w:rsidRPr="00D32247" w:rsidRDefault="00D32247" w:rsidP="00D32247">
      <w:r w:rsidRPr="00D32247">
        <w:t>Στο φάκελο τεχνικής προσφοράς θα πρέπει να υποβληθούν συμπληρωμένα τα φύλλα συμμόρφωσης του Παραρτήματος VI </w:t>
      </w:r>
      <w:bookmarkStart w:id="58" w:name="_Hlk113538341"/>
      <w:r w:rsidRPr="00D32247">
        <w:t xml:space="preserve">συμπεριλαμβανομένων όλων των εγγράφων και δικαιολογητικών που </w:t>
      </w:r>
      <w:r w:rsidRPr="00D32247">
        <w:lastRenderedPageBreak/>
        <w:t>αποδεικνύουν την πλήρωση των συγκεκριμένων απαιτήσεων και προδιαγραφών του ως άνω Παραρτήματος.</w:t>
      </w:r>
      <w:bookmarkEnd w:id="58"/>
    </w:p>
    <w:p w:rsidR="00D32247" w:rsidRPr="00D32247" w:rsidRDefault="00D32247" w:rsidP="00D32247">
      <w:bookmarkStart w:id="59" w:name="_Hlk113545757"/>
      <w:r w:rsidRPr="00D32247">
        <w:t xml:space="preserve">Δεδομένου ότι η απαίτηση για τα πλέον κρίσιμα παραδοτέα του έργου, που είναι αυτά που περιγράφονται στις παραγράφους 2.1 και 2.10 του παραρτήματος Ι της παρούσας διακήρυξης και από τα οποία, αφενός μεν,  εξαρτάται σε πολύ μεγάλο βαθμό η έγκαιρη και επιτυχής υλοποίησή του και διασφαλίζεται ότι το προσφερόμενο σύστημα θα αποτελεί ένα ολοκληρωμένο σύστημα που έχει αναπτύξει ο οικονομικός φορέας και δύναται με την κατάλληλη παραμετροποίηση να το προμηθεύσει ως έτοιμη λύση στο πλαίσιο της προμήθειας, αφετέρου δε, η επιτυχής και έγκαιρη ολοκλήρωση της προμήθειας και εγκατάστασής του, μέχρι την 31.12.2023, που είναι η ημερομηνία </w:t>
      </w:r>
      <w:proofErr w:type="spellStart"/>
      <w:r w:rsidRPr="00D32247">
        <w:t>επιλεξιμότητας</w:t>
      </w:r>
      <w:proofErr w:type="spellEnd"/>
      <w:r w:rsidRPr="00D32247">
        <w:t xml:space="preserve"> δαπανών για την ΠΠ 2014-2020 και επειδή η ανωτέρω δράση δεν είναι επιλέξιμη για συγχρηματοδότηση στο πρόγραμμα ΠΕΚΑ της ΠΠ 2021-2027, θα πρέπει τουλάχιστον ένα, να είναι έτοιμο προς επίδειξη (εγκατεστημένο και σε πλήρη λειτουργία) σε χώρο επιλογής του Αναδόχου στην Ελλάδα ή στο Εξωτερικό).</w:t>
      </w:r>
    </w:p>
    <w:p w:rsidR="00D32247" w:rsidRPr="00D32247" w:rsidRDefault="00D32247" w:rsidP="00D32247">
      <w:r w:rsidRPr="00D32247">
        <w:t>Για τους ανωτέρω λόγους στην προσφορά τους οι οικονομικοί φορείς θα πρέπει να περιγράψουν το εν λόγω σύστημα, τον τόπο εγκατάστασης αυτού και να αποδέχονται την επίδειξή του προς την Επιτροπή Διαγωνισμού. Η επίδειξη θα πραγματοποιηθεί κατά τη διαδικασία αξιολόγησης προσφορών, κατόπιν σχετικής πρόσκλησης της Επιτροπής Διαγωνισμού, είτε με επιτόπια επίσκεψη στο χώρο εγκατάστασης, είτε απομακρυσμένα (μέσω τηλεδιάσκεψης ή άλλο πρόσφορο μέσο) και θα περιλαμβάνει τις εξής προδιαγραφές προς επίδειξη:</w:t>
      </w:r>
    </w:p>
    <w:p w:rsidR="00D32247" w:rsidRPr="00D32247" w:rsidRDefault="00D32247" w:rsidP="00D32247">
      <w:r w:rsidRPr="00D32247">
        <w:t>• Για τις απαιτήσεις της παρ. «2.1. Λογισμικό Διαχείρισης Συστήματος»:</w:t>
      </w:r>
    </w:p>
    <w:p w:rsidR="00D32247" w:rsidRPr="00D32247" w:rsidRDefault="00D32247" w:rsidP="00D32247">
      <w:proofErr w:type="spellStart"/>
      <w:r w:rsidRPr="00D32247">
        <w:t>Προσπελασιμότητα</w:t>
      </w:r>
      <w:proofErr w:type="spellEnd"/>
      <w:r w:rsidRPr="00D32247">
        <w:t xml:space="preserve"> μέσω κοινού περιηγητή ιστοσελίδων (</w:t>
      </w:r>
      <w:proofErr w:type="spellStart"/>
      <w:r w:rsidRPr="00D32247">
        <w:t>browser</w:t>
      </w:r>
      <w:proofErr w:type="spellEnd"/>
      <w:r w:rsidRPr="00D32247">
        <w:t>).</w:t>
      </w:r>
    </w:p>
    <w:p w:rsidR="00D32247" w:rsidRPr="00D32247" w:rsidRDefault="00D32247" w:rsidP="00D32247">
      <w:r w:rsidRPr="00D32247">
        <w:t>Ενημέρωση για τη φόρτιση των ποδηλάτων, καθώς και για την κατάσταση της μπαταρίας τους.</w:t>
      </w:r>
    </w:p>
    <w:p w:rsidR="00D32247" w:rsidRPr="00D32247" w:rsidRDefault="00D32247" w:rsidP="00D32247">
      <w:r w:rsidRPr="00D32247">
        <w:t>Συνεχή παρακολούθηση της γεωγραφικής θέσης του κάθε ποδηλάτου.</w:t>
      </w:r>
    </w:p>
    <w:p w:rsidR="00D32247" w:rsidRPr="00D32247" w:rsidRDefault="00D32247" w:rsidP="00D32247">
      <w:r w:rsidRPr="00D32247">
        <w:t>Παροχή πληροφοριών στον διαχειριστή του συστήματος, σε πραγματικό χρόνο, αναφορικά με την καλή λειτουργία των ποδηλάτων και τη διαθεσιμότητα των ποδηλάτων σε κάθε σταθμό.</w:t>
      </w:r>
    </w:p>
    <w:p w:rsidR="00D32247" w:rsidRPr="00D32247" w:rsidRDefault="00D32247" w:rsidP="00D32247">
      <w:r w:rsidRPr="00D32247">
        <w:t>• Για τις απαιτήσεις της παρ. «2.10 Ηλεκτρικό Ποδήλατο»:</w:t>
      </w:r>
    </w:p>
    <w:p w:rsidR="00D32247" w:rsidRPr="00D32247" w:rsidRDefault="00D32247" w:rsidP="00D32247">
      <w:r w:rsidRPr="00D32247">
        <w:t xml:space="preserve">Οι προδιαγραφές 4, 13, 17, 18, 19, 21, 22, 23, 24, 28, 29, 32, 39, 40, 45, 46 47, 55 όπως αυτές αναφέρονται στον πίνακα συμμόρφωσης με τίτλο «Ηλεκτρικό Ποδήλατο» του Παραρτήματος VI. </w:t>
      </w:r>
    </w:p>
    <w:bookmarkEnd w:id="59"/>
    <w:p w:rsidR="00D32247" w:rsidRPr="00D32247" w:rsidRDefault="00D32247" w:rsidP="00D32247"/>
    <w:p w:rsidR="00D32247" w:rsidRPr="00D32247" w:rsidRDefault="00D32247" w:rsidP="00D32247">
      <w:r w:rsidRPr="00D32247">
        <w:t xml:space="preserve">Οι οικονομικοί φορείς αναφέρουν: </w:t>
      </w:r>
    </w:p>
    <w:p w:rsidR="00D32247" w:rsidRPr="00D32247" w:rsidRDefault="00D32247" w:rsidP="00D32247">
      <w:r w:rsidRPr="00D32247">
        <w:t>α) το τμήμα της σύμβασης που προτίθενται να αναθέσουν υπό μορφή υπεργολαβίας σε τρίτους, καθώς και τους υπεργολάβους που προτείνουν</w:t>
      </w:r>
      <w:r w:rsidRPr="00D32247">
        <w:footnoteReference w:id="99"/>
      </w:r>
      <w:r w:rsidRPr="00D32247">
        <w:t>.</w:t>
      </w:r>
    </w:p>
    <w:p w:rsidR="00D32247" w:rsidRPr="00D32247" w:rsidRDefault="00D32247" w:rsidP="00D32247">
      <w:bookmarkStart w:id="60" w:name="_Toc108094110"/>
      <w:r w:rsidRPr="00D32247">
        <w:t>2.4.4</w:t>
      </w:r>
      <w:r w:rsidRPr="00D32247">
        <w:tab/>
        <w:t>Περιεχόμενα Φακέλου «Οικονομική Προσφορά» / Τρόπος σύνταξης και υποβολής οικονομικών προσφορών</w:t>
      </w:r>
      <w:bookmarkEnd w:id="60"/>
    </w:p>
    <w:p w:rsidR="00D32247" w:rsidRPr="00D32247" w:rsidRDefault="00D32247" w:rsidP="00D32247">
      <w:r w:rsidRPr="00D32247">
        <w:t>Η Οικονομική Προσφορά συντάσσεται σε ηλεκτρονική μορφή, με βάση το αναγραφόμενο στην παράγραφο 2.3.1 της παρούσης διακήρυξης κριτήριο ανάθεσης  και  σύμφωνα με το «Υπόδειγμα Οικονομικής Προσφοράς» στο επισυναπτόμενο Παράρτημα της διακήρυξης.</w:t>
      </w:r>
    </w:p>
    <w:p w:rsidR="00D32247" w:rsidRPr="00D32247" w:rsidRDefault="00D32247" w:rsidP="00D32247">
      <w:r w:rsidRPr="00D32247">
        <w:t>Εφόσον δεν προκύπτει με σαφήνεια η προσφερόμενη τιμή, η προσφορά θα απορρίπτεται ως απαράδεκτη.</w:t>
      </w:r>
    </w:p>
    <w:p w:rsidR="00D32247" w:rsidRPr="00D32247" w:rsidRDefault="00D32247" w:rsidP="00D32247">
      <w:r w:rsidRPr="00D32247">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D32247" w:rsidRPr="00D32247" w:rsidRDefault="00D32247" w:rsidP="00D32247">
      <w:r w:rsidRPr="00D32247">
        <w:t>Η τιμή των προσφερόμενων υπηρεσιών δίνεται σε ευρώ ανά μονάδα. Επιπλέον της υποβολής της οικονομικής προσφοράς στο ηλεκτρονικό σύστημα, ο προσφέρων θα επισυνάψει στον (</w:t>
      </w:r>
      <w:proofErr w:type="spellStart"/>
      <w:r w:rsidRPr="00D32247">
        <w:t>υπο</w:t>
      </w:r>
      <w:proofErr w:type="spellEnd"/>
      <w:r w:rsidRPr="00D32247">
        <w:t xml:space="preserve">) φάκελο “οικονομική προσφορά” την ηλεκτρονική οικονομική προσφορά του ψηφιακά υπογεγραμμένη και τα σχετικά ηλεκτρονικά αρχεία (σύμφωνα με το υπόδειγμα που υπάρχει στο Παράρτημα V της παρούσας διακήρυξης) σε μορφή </w:t>
      </w:r>
      <w:proofErr w:type="spellStart"/>
      <w:r w:rsidRPr="00D32247">
        <w:t>pdf</w:t>
      </w:r>
      <w:proofErr w:type="spellEnd"/>
      <w:r w:rsidRPr="00D32247">
        <w:t>.</w:t>
      </w:r>
    </w:p>
    <w:p w:rsidR="00D32247" w:rsidRPr="00D32247" w:rsidRDefault="00D32247" w:rsidP="00D32247">
      <w:r w:rsidRPr="00D32247">
        <w:lastRenderedPageBreak/>
        <w:t>Οι τιμές των προσφορών δεν υπόκεινται σε μεταβολή κατά την διάρκεια ισχύος της προσφοράς και εκτέλεσης της σύμβασης. Ο υποψήφιος Ανάδοχος έχει μελετήσει και εκτιμήσει τις απαιτήσεις του Έργου και τα οικονομικά μεγέθη που θα απαιτηθούν για την εκτέλεση της προμήθειας και εγγυάται για την ακρίβεια των επί μέρους στοιχείων του κόστους. Καμία αξίωση για πρόσθετη χρηματοδότηση δεν θα μπορεί να προβληθεί από τον Ανάδοχο.</w:t>
      </w:r>
    </w:p>
    <w:p w:rsidR="00D32247" w:rsidRPr="00D32247" w:rsidRDefault="00D32247" w:rsidP="00D32247">
      <w:r w:rsidRPr="00D32247">
        <w:t>Τα τιμολόγια του Αναδόχου θα είναι σε ευρώ. Η καταβολή της αμοιβής του θα γίνεται στην Ελλάδα σε ευρώ σύμφωνα με την ισχύουσα νομοθεσία.</w:t>
      </w:r>
    </w:p>
    <w:p w:rsidR="00D32247" w:rsidRPr="00D32247" w:rsidRDefault="00D32247" w:rsidP="00D32247">
      <w:r w:rsidRPr="00D32247">
        <w:t>Ο Ανάδοχος επιβαρύνεται με κάθε άλλη νόμιμη ασφαλιστική εισφορά και κράτηση υπέρ Νομικών Προσώπων ή άλλων Οργανισμών, η οποία κατά νόμο βαρύνει τον προμηθευτή (Ανάδοχο).</w:t>
      </w:r>
    </w:p>
    <w:p w:rsidR="00D32247" w:rsidRPr="00D32247" w:rsidRDefault="00D32247" w:rsidP="00D32247">
      <w:r w:rsidRPr="00D32247">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στην παρούσα διακήρυξη</w:t>
      </w:r>
    </w:p>
    <w:p w:rsidR="00D32247" w:rsidRPr="00D32247" w:rsidRDefault="00D32247" w:rsidP="00D32247">
      <w:bookmarkStart w:id="61" w:name="_Toc108094111"/>
      <w:r w:rsidRPr="00D32247">
        <w:t>2.4.5</w:t>
      </w:r>
      <w:r w:rsidRPr="00D32247">
        <w:tab/>
        <w:t>Χρόνος ισχύος των προσφορών</w:t>
      </w:r>
      <w:r w:rsidRPr="00D32247">
        <w:footnoteReference w:id="100"/>
      </w:r>
      <w:bookmarkEnd w:id="61"/>
      <w:r w:rsidRPr="00D32247">
        <w:t xml:space="preserve">  </w:t>
      </w:r>
    </w:p>
    <w:p w:rsidR="00D32247" w:rsidRPr="00D32247" w:rsidRDefault="00D32247" w:rsidP="00D32247">
      <w:r w:rsidRPr="00D32247">
        <w:t xml:space="preserve">Οι υποβαλλόμενες προσφορές ισχύουν και δεσμεύουν τους οικονομικούς φορείς για διάστημα δέκα (10) μηνών από την επόμενη της καταληκτικής ημερομηνίας υποβολής προσφορών </w:t>
      </w:r>
    </w:p>
    <w:p w:rsidR="00D32247" w:rsidRPr="00D32247" w:rsidRDefault="00D32247" w:rsidP="00D32247">
      <w:r w:rsidRPr="00D32247">
        <w:t>Προσφορά η οποία ορίζει χρόνο ισχύος μικρότερο από τον ανωτέρω προβλεπόμενο απορρίπτεται ως μη κανονική.</w:t>
      </w:r>
    </w:p>
    <w:p w:rsidR="00D32247" w:rsidRPr="00D32247" w:rsidRDefault="00D32247" w:rsidP="00D32247">
      <w:r w:rsidRPr="00D32247">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D32247" w:rsidRPr="00D32247" w:rsidRDefault="00D32247" w:rsidP="00D32247">
      <w:r w:rsidRPr="00D32247">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D32247" w:rsidRPr="00D32247" w:rsidRDefault="00D32247" w:rsidP="00D32247">
      <w:r w:rsidRPr="00D32247">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D32247" w:rsidRPr="00D32247" w:rsidRDefault="00D32247" w:rsidP="00D32247"/>
    <w:p w:rsidR="00D32247" w:rsidRPr="00D32247" w:rsidRDefault="00D32247" w:rsidP="00D32247">
      <w:bookmarkStart w:id="62" w:name="_Toc108094112"/>
      <w:r w:rsidRPr="00D32247">
        <w:t>2.4.6</w:t>
      </w:r>
      <w:r w:rsidRPr="00D32247">
        <w:tab/>
        <w:t>Λόγοι απόρριψης προσφορών</w:t>
      </w:r>
      <w:r w:rsidRPr="00D32247">
        <w:footnoteReference w:id="101"/>
      </w:r>
      <w:bookmarkEnd w:id="62"/>
    </w:p>
    <w:p w:rsidR="00D32247" w:rsidRPr="00D32247" w:rsidRDefault="00D32247" w:rsidP="00D32247">
      <w:r w:rsidRPr="00D32247">
        <w:t>H αναθέτουσα αρχή με βάση τα αποτελέσματα του ελέγχου και της αξιολόγησης των προσφορών, απορρίπτει, σε κάθε περίπτωση, προσφορά:</w:t>
      </w:r>
    </w:p>
    <w:p w:rsidR="00D32247" w:rsidRPr="00D32247" w:rsidRDefault="00D32247" w:rsidP="00D32247">
      <w:r w:rsidRPr="00D32247">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w:t>
      </w:r>
      <w:r w:rsidRPr="00D32247">
        <w:lastRenderedPageBreak/>
        <w:t>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sidRPr="00D32247">
        <w:footnoteReference w:id="102"/>
      </w:r>
      <w:r w:rsidRPr="00D32247">
        <w:t xml:space="preserve"> </w:t>
      </w:r>
    </w:p>
    <w:p w:rsidR="00D32247" w:rsidRPr="00D32247" w:rsidRDefault="00D32247" w:rsidP="00D32247">
      <w:r w:rsidRPr="00D32247">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D32247" w:rsidRPr="00D32247" w:rsidRDefault="00D32247" w:rsidP="00D32247">
      <w:r w:rsidRPr="00D32247">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D32247" w:rsidRPr="00D32247" w:rsidRDefault="00D32247" w:rsidP="00D32247">
      <w:r w:rsidRPr="00D32247">
        <w:t xml:space="preserve">δ) η οποία είναι εναλλακτική προσφορά, </w:t>
      </w:r>
    </w:p>
    <w:p w:rsidR="00D32247" w:rsidRPr="00D32247" w:rsidRDefault="00D32247" w:rsidP="00D32247">
      <w:r w:rsidRPr="00D32247">
        <w:t xml:space="preserve">ε) η οποία υποβάλλεται από έναν προσφέροντα που έχει υποβάλλει δύο ή περισσότερες προσφορές. O περιορισμός αυτός ισχύει, υπό τους όρους της παραγράφου 2.2.3.4 </w:t>
      </w:r>
      <w:proofErr w:type="spellStart"/>
      <w:r w:rsidRPr="00D32247">
        <w:t>περ.γ</w:t>
      </w:r>
      <w:proofErr w:type="spellEnd"/>
      <w:r w:rsidRPr="00D32247">
        <w:t xml:space="preserve"> της παρούσας ( </w:t>
      </w:r>
      <w:proofErr w:type="spellStart"/>
      <w:r w:rsidRPr="00D32247">
        <w:t>περ</w:t>
      </w:r>
      <w:proofErr w:type="spellEnd"/>
      <w:r w:rsidRPr="00D32247">
        <w:t xml:space="preserve">. </w:t>
      </w:r>
      <w:proofErr w:type="spellStart"/>
      <w:r w:rsidRPr="00D32247">
        <w:t>γ΄</w:t>
      </w:r>
      <w:proofErr w:type="spellEnd"/>
      <w:r w:rsidRPr="00D32247">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D32247" w:rsidRPr="00D32247" w:rsidRDefault="00D32247" w:rsidP="00D32247">
      <w:r w:rsidRPr="00D32247">
        <w:t>στ) η οποία είναι υπό αίρεση,</w:t>
      </w:r>
    </w:p>
    <w:p w:rsidR="00D32247" w:rsidRPr="00D32247" w:rsidRDefault="00D32247" w:rsidP="00D32247">
      <w:r w:rsidRPr="00D32247">
        <w:t xml:space="preserve">ζ) η οποία θέτει όρο αναπροσαρμογής, </w:t>
      </w:r>
    </w:p>
    <w:p w:rsidR="00D32247" w:rsidRPr="00D32247" w:rsidRDefault="00D32247" w:rsidP="00D32247">
      <w:r w:rsidRPr="00D32247">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D32247" w:rsidRPr="00D32247" w:rsidRDefault="00D32247" w:rsidP="00D32247">
      <w:r w:rsidRPr="00D32247">
        <w:t>θ) εφόσον διαπιστωθεί ότι είναι ασυνήθιστα χαμηλή διότι δε συμμορφώνεται με τις ισχύουσες  υποχρεώσεις της παρ. 2 του άρθρου 18 του ν.4412/2016,</w:t>
      </w:r>
    </w:p>
    <w:p w:rsidR="00D32247" w:rsidRPr="00D32247" w:rsidRDefault="00D32247" w:rsidP="00D32247">
      <w:r w:rsidRPr="00D32247">
        <w:t>ι) η οποία παρουσιάζει αποκλίσεις ως προς τους όρους και τις τεχνικές προδιαγραφές της σύμβασης,</w:t>
      </w:r>
    </w:p>
    <w:p w:rsidR="00D32247" w:rsidRPr="00D32247" w:rsidRDefault="00D32247" w:rsidP="00D32247">
      <w:r w:rsidRPr="00D32247">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D32247" w:rsidRPr="00D32247" w:rsidRDefault="00D32247" w:rsidP="00D32247">
      <w:r w:rsidRPr="00D32247">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D32247">
        <w:t>επ</w:t>
      </w:r>
      <w:proofErr w:type="spellEnd"/>
      <w:r w:rsidRPr="00D32247">
        <w:t>., περί κριτηρίων επιλογής,</w:t>
      </w:r>
    </w:p>
    <w:p w:rsidR="00D32247" w:rsidRPr="00D32247" w:rsidRDefault="00D32247" w:rsidP="00D32247">
      <w:r w:rsidRPr="00D32247">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D32247" w:rsidRPr="00D32247" w:rsidRDefault="00D32247" w:rsidP="00D32247"/>
    <w:p w:rsidR="00D32247" w:rsidRPr="00D32247" w:rsidRDefault="00D32247" w:rsidP="00D32247">
      <w:bookmarkStart w:id="63" w:name="_Toc108094113"/>
      <w:r w:rsidRPr="00D32247">
        <w:t>3.</w:t>
      </w:r>
      <w:r w:rsidRPr="00D32247">
        <w:tab/>
        <w:t>ΔΙΕΝΕΡΓΕΙΑ ΔΙΑΔΙΚΑΣΙΑΣ - ΑΞΙΟΛΟΓΗΣΗ ΠΡΟΣΦΟΡΩΝ</w:t>
      </w:r>
      <w:bookmarkEnd w:id="63"/>
      <w:r w:rsidRPr="00D32247">
        <w:t xml:space="preserve">  </w:t>
      </w:r>
    </w:p>
    <w:p w:rsidR="00D32247" w:rsidRPr="00D32247" w:rsidRDefault="00D32247" w:rsidP="00D32247">
      <w:bookmarkStart w:id="64" w:name="_Toc108094114"/>
      <w:r w:rsidRPr="00D32247">
        <w:t xml:space="preserve">3.1 </w:t>
      </w:r>
      <w:r w:rsidRPr="00D32247">
        <w:tab/>
        <w:t>Αποσφράγιση και αξιολόγηση προσφορών</w:t>
      </w:r>
      <w:bookmarkEnd w:id="64"/>
      <w:r w:rsidRPr="00D32247">
        <w:t xml:space="preserve"> </w:t>
      </w:r>
    </w:p>
    <w:p w:rsidR="00D32247" w:rsidRPr="00D32247" w:rsidRDefault="00D32247" w:rsidP="00D32247">
      <w:bookmarkStart w:id="65" w:name="_Toc108094115"/>
      <w:r w:rsidRPr="00D32247">
        <w:t>3.1.1</w:t>
      </w:r>
      <w:r w:rsidRPr="00D32247">
        <w:tab/>
        <w:t>Ηλεκτρονική αποσφράγιση προσφορών</w:t>
      </w:r>
      <w:r w:rsidRPr="00D32247">
        <w:footnoteReference w:id="103"/>
      </w:r>
      <w:bookmarkEnd w:id="65"/>
    </w:p>
    <w:p w:rsidR="00D32247" w:rsidRPr="00D32247" w:rsidRDefault="00D32247" w:rsidP="00D32247">
      <w:r w:rsidRPr="00D32247">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D32247">
        <w:footnoteReference w:id="104"/>
      </w:r>
      <w:r w:rsidRPr="00D32247">
        <w:t xml:space="preserve">, εφεξής Επιτροπή </w:t>
      </w:r>
      <w:r w:rsidRPr="00D32247">
        <w:lastRenderedPageBreak/>
        <w:t>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D32247" w:rsidRPr="00D32247" w:rsidRDefault="00D32247" w:rsidP="00D32247">
      <w:pPr>
        <w:rPr>
          <w:highlight w:val="yellow"/>
        </w:rPr>
      </w:pPr>
      <w:r w:rsidRPr="00D32247">
        <w:t xml:space="preserve">Ηλεκτρονική Αποσφράγιση του (υπό)φακέλου «Δικαιολογητικά Συμμετοχής-Τεχνική Προσφορά» </w:t>
      </w:r>
      <w:r w:rsidRPr="00D32247">
        <w:rPr>
          <w:highlight w:val="yellow"/>
        </w:rPr>
        <w:t>την ΧΧ/ΧΧ/2023 και ώρα ΧΧ:ΧΧ</w:t>
      </w:r>
    </w:p>
    <w:p w:rsidR="00D32247" w:rsidRPr="00D32247" w:rsidRDefault="00D32247" w:rsidP="00D32247">
      <w:r w:rsidRPr="00D32247">
        <w:t xml:space="preserve">Ηλεκτρονική Αποσφράγιση του (υπό)φακέλου «Οικονομική Προσφορά», κατά την ημερομηνία και ώρα που θα ορίσει η αναθέτουσα αρχή </w:t>
      </w:r>
    </w:p>
    <w:p w:rsidR="00D32247" w:rsidRPr="00D32247" w:rsidRDefault="00D32247" w:rsidP="00D32247"/>
    <w:p w:rsidR="00D32247" w:rsidRPr="00D32247" w:rsidRDefault="00D32247" w:rsidP="00D32247">
      <w:r w:rsidRPr="00D32247">
        <w:t xml:space="preserve">Σε κάθε στάδιο τα στοιχεία των προσφορών που αποσφραγίζονται είναι καταρχήν </w:t>
      </w:r>
      <w:proofErr w:type="spellStart"/>
      <w:r w:rsidRPr="00D32247">
        <w:t>προσβάσιμα</w:t>
      </w:r>
      <w:proofErr w:type="spellEnd"/>
      <w:r w:rsidRPr="00D32247">
        <w:t xml:space="preserve"> μόνο στα μέλη της Επιτροπής Διαγωνισμού και την Αναθέτουσα Αρχή</w:t>
      </w:r>
      <w:r w:rsidRPr="00D32247">
        <w:footnoteReference w:id="105"/>
      </w:r>
      <w:r w:rsidRPr="00D32247">
        <w:t>.</w:t>
      </w:r>
    </w:p>
    <w:p w:rsidR="00D32247" w:rsidRPr="00D32247" w:rsidRDefault="00D32247" w:rsidP="00D32247"/>
    <w:p w:rsidR="00D32247" w:rsidRPr="00D32247" w:rsidRDefault="00D32247" w:rsidP="00D32247">
      <w:bookmarkStart w:id="66" w:name="_Toc108094116"/>
      <w:r w:rsidRPr="00D32247">
        <w:t>3.1.2</w:t>
      </w:r>
      <w:r w:rsidRPr="00D32247">
        <w:tab/>
        <w:t>Αξιολόγηση προσφορών</w:t>
      </w:r>
      <w:bookmarkEnd w:id="66"/>
    </w:p>
    <w:p w:rsidR="00D32247" w:rsidRPr="00D32247" w:rsidRDefault="00D32247" w:rsidP="00D32247">
      <w:r w:rsidRPr="00D32247">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D32247">
        <w:footnoteReference w:id="106"/>
      </w:r>
      <w:r w:rsidRPr="00D32247">
        <w:t>, εφαρμοζόμενων κατά τα λοιπά των κειμένων διατάξεων.</w:t>
      </w:r>
    </w:p>
    <w:p w:rsidR="00D32247" w:rsidRPr="00D32247" w:rsidRDefault="00D32247" w:rsidP="00D32247">
      <w:r w:rsidRPr="00D32247">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D32247">
        <w:t>εξακριβώσιμος</w:t>
      </w:r>
      <w:proofErr w:type="spellEnd"/>
      <w:r w:rsidRPr="00D32247">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D32247">
        <w:t>κατ΄</w:t>
      </w:r>
      <w:proofErr w:type="spellEnd"/>
      <w:r w:rsidRPr="00D32247">
        <w:t xml:space="preserve"> </w:t>
      </w:r>
      <w:proofErr w:type="spellStart"/>
      <w:r w:rsidRPr="00D32247">
        <w:t>αναλογίαν</w:t>
      </w:r>
      <w:proofErr w:type="spellEnd"/>
      <w:r w:rsidRPr="00D32247">
        <w:t xml:space="preserve"> και για τυχόν ελλείπουσες δηλώσεις, υπό την προϋπόθεση ότι βεβαιώνουν γεγονότα αντικειμενικώς </w:t>
      </w:r>
      <w:proofErr w:type="spellStart"/>
      <w:r w:rsidRPr="00D32247">
        <w:t>εξακριβώσιμα</w:t>
      </w:r>
      <w:proofErr w:type="spellEnd"/>
      <w:r w:rsidRPr="00D32247">
        <w:footnoteReference w:id="107"/>
      </w:r>
      <w:r w:rsidRPr="00D32247">
        <w:t>.</w:t>
      </w:r>
    </w:p>
    <w:p w:rsidR="00D32247" w:rsidRPr="00D32247" w:rsidRDefault="00D32247" w:rsidP="00D32247">
      <w:pPr>
        <w:rPr>
          <w:rFonts w:eastAsia="Calibri"/>
        </w:rPr>
      </w:pPr>
      <w:r w:rsidRPr="00D32247">
        <w:t>Ειδικότερα :</w:t>
      </w:r>
    </w:p>
    <w:p w:rsidR="00D32247" w:rsidRPr="00D32247" w:rsidRDefault="00D32247" w:rsidP="00D32247">
      <w:r w:rsidRPr="00D32247">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D32247" w:rsidRPr="00D32247" w:rsidRDefault="00D32247" w:rsidP="00D32247">
      <w:r w:rsidRPr="00D32247">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w:t>
      </w:r>
      <w:r w:rsidRPr="00D32247">
        <w:lastRenderedPageBreak/>
        <w:t>επιμέλεια αυτής μέσω της λειτουργικότητας της «Επικοινωνίας» του ηλεκτρονικού διαγωνισμού στο ΕΣΗΔΗΣ.</w:t>
      </w:r>
    </w:p>
    <w:p w:rsidR="00D32247" w:rsidRPr="00D32247" w:rsidRDefault="00D32247" w:rsidP="00D32247">
      <w:r w:rsidRPr="00D32247">
        <w:t>Κατά της εν λόγω απόφασης χωρεί προδικαστική προσφυγή, σύμφωνα με τα οριζόμενα στην παράγραφο 3.4 της παρούσας.</w:t>
      </w:r>
    </w:p>
    <w:p w:rsidR="00D32247" w:rsidRPr="00D32247" w:rsidRDefault="00D32247" w:rsidP="00D32247">
      <w:r w:rsidRPr="00D32247">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D32247" w:rsidRPr="00D32247" w:rsidRDefault="00D32247" w:rsidP="00D32247">
      <w:r w:rsidRPr="00D32247">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rsidR="00D32247" w:rsidRPr="00D32247" w:rsidRDefault="00D32247" w:rsidP="00D32247">
      <w:r w:rsidRPr="00D32247">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D32247" w:rsidRPr="00D32247" w:rsidRDefault="00D32247" w:rsidP="00D32247">
      <w:r w:rsidRPr="00D32247">
        <w:t>Κατά της εν λόγω απόφασης χωρεί προδικαστική προσφυγή, σύμφωνα με τα οριζόμενα στην παράγραφο 3.4 της παρούσας.</w:t>
      </w:r>
    </w:p>
    <w:p w:rsidR="00D32247" w:rsidRPr="00D32247" w:rsidRDefault="00D32247" w:rsidP="00D32247">
      <w:r w:rsidRPr="00D32247">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D32247" w:rsidRPr="00D32247" w:rsidRDefault="00D32247" w:rsidP="00D32247">
      <w:r w:rsidRPr="00D32247">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D32247" w:rsidRPr="00D32247" w:rsidRDefault="00D32247" w:rsidP="00D32247">
      <w:r w:rsidRPr="00D32247">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D32247" w:rsidRPr="00D32247" w:rsidRDefault="00D32247" w:rsidP="00D32247">
      <w:r w:rsidRPr="00D32247">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rsidR="00D32247" w:rsidRPr="00D32247" w:rsidRDefault="00D32247" w:rsidP="00D32247">
      <w:pPr>
        <w:rPr>
          <w:rFonts w:eastAsia="Calibri"/>
        </w:rPr>
      </w:pPr>
      <w:r w:rsidRPr="00D32247">
        <w:t>Αν οι ισοδύναμες προσφορές έχουν την ίδια βαθμολογία τεχνικής προσφοράς</w:t>
      </w:r>
      <w:r w:rsidRPr="00D32247">
        <w:footnoteReference w:id="108"/>
      </w:r>
      <w:r w:rsidRPr="00D32247">
        <w:t xml:space="preserve">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D32247" w:rsidRPr="00D32247" w:rsidRDefault="00D32247" w:rsidP="00D32247">
      <w:r w:rsidRPr="00D32247">
        <w:t xml:space="preserve">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w:t>
      </w:r>
      <w:r w:rsidRPr="00D32247">
        <w:lastRenderedPageBreak/>
        <w:t>σταδίου και η αναθέτουσα</w:t>
      </w:r>
      <w:r w:rsidRPr="00D32247">
        <w:rPr>
          <w:rFonts w:eastAsia="Calibri"/>
        </w:rPr>
        <w:t xml:space="preserve"> </w:t>
      </w:r>
      <w:r w:rsidRPr="00D32247">
        <w:t>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r w:rsidRPr="00D32247">
        <w:footnoteReference w:id="109"/>
      </w:r>
      <w:r w:rsidRPr="00D32247">
        <w:t>.</w:t>
      </w:r>
    </w:p>
    <w:p w:rsidR="00D32247" w:rsidRPr="00D32247" w:rsidRDefault="00D32247" w:rsidP="00D32247">
      <w:r w:rsidRPr="00D32247">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Ε.Α.ΔΗ.ΣΥ. σύμφωνα με όσα προβλέπονται στην παράγραφο 3.4 της παρούσας</w:t>
      </w:r>
      <w:r w:rsidRPr="00D32247">
        <w:footnoteReference w:id="110"/>
      </w:r>
      <w:r w:rsidRPr="00D32247">
        <w:t>.</w:t>
      </w:r>
    </w:p>
    <w:p w:rsidR="00D32247" w:rsidRPr="00D32247" w:rsidRDefault="00D32247" w:rsidP="00D32247"/>
    <w:p w:rsidR="00D32247" w:rsidRPr="00D32247" w:rsidRDefault="00D32247" w:rsidP="00D32247">
      <w:bookmarkStart w:id="67" w:name="_Toc108094117"/>
      <w:r w:rsidRPr="00D32247">
        <w:t>3.2</w:t>
      </w:r>
      <w:r w:rsidRPr="00D32247">
        <w:tab/>
        <w:t>Πρόσκληση υποβολής δικαιολογητικών προσωρινού αναδόχου</w:t>
      </w:r>
      <w:r w:rsidRPr="00D32247">
        <w:footnoteReference w:id="111"/>
      </w:r>
      <w:r w:rsidRPr="00D32247">
        <w:t xml:space="preserve"> - Δικαιολογητικά προσωρινού αναδόχου</w:t>
      </w:r>
      <w:bookmarkEnd w:id="67"/>
    </w:p>
    <w:p w:rsidR="00D32247" w:rsidRPr="00D32247" w:rsidRDefault="00D32247" w:rsidP="00D32247">
      <w:r w:rsidRPr="00D32247">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D32247" w:rsidRPr="00D32247" w:rsidRDefault="00D32247" w:rsidP="00D32247">
      <w:r w:rsidRPr="00D32247">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D32247">
        <w:t>μορφότυπο</w:t>
      </w:r>
      <w:proofErr w:type="spellEnd"/>
      <w:r w:rsidRPr="00D32247">
        <w:t xml:space="preserve"> PDF, σύμφωνα με τα ειδικώς οριζόμενα στην παράγραφο 2.4.2.5 της παρούσας.</w:t>
      </w:r>
    </w:p>
    <w:p w:rsidR="00D32247" w:rsidRPr="00D32247" w:rsidRDefault="00D32247" w:rsidP="00D32247">
      <w:r w:rsidRPr="00D32247">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w:t>
      </w:r>
      <w:r w:rsidRPr="00D32247">
        <w:footnoteReference w:id="112"/>
      </w:r>
      <w:r w:rsidRPr="00D32247">
        <w:t xml:space="preserve">. </w:t>
      </w:r>
    </w:p>
    <w:p w:rsidR="00D32247" w:rsidRPr="00D32247" w:rsidRDefault="00D32247" w:rsidP="00D32247">
      <w:r w:rsidRPr="00D32247">
        <w:t xml:space="preserve">Αν δεν προσκομισθούν τα παραπάνω δικαιολογητικά ή υπάρχουν ελλείψεις σε αυτά που </w:t>
      </w:r>
      <w:proofErr w:type="spellStart"/>
      <w:r w:rsidRPr="00D32247">
        <w:t>υπoβλήθηκαν</w:t>
      </w:r>
      <w:proofErr w:type="spellEnd"/>
      <w:r w:rsidRPr="00D32247">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D32247" w:rsidRPr="00D32247" w:rsidRDefault="00D32247" w:rsidP="00D32247">
      <w:r w:rsidRPr="00D32247">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w:t>
      </w:r>
      <w:r w:rsidRPr="00D32247">
        <w:lastRenderedPageBreak/>
        <w:t xml:space="preserve">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D32247">
        <w:t>κατ΄</w:t>
      </w:r>
      <w:proofErr w:type="spellEnd"/>
      <w:r w:rsidRPr="00D32247">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D32247" w:rsidRPr="00D32247" w:rsidRDefault="00D32247" w:rsidP="00D32247">
      <w:r w:rsidRPr="00D32247">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32247" w:rsidRPr="00D32247" w:rsidRDefault="00D32247" w:rsidP="00D32247">
      <w:r w:rsidRPr="00D32247">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D32247" w:rsidRPr="00D32247" w:rsidRDefault="00D32247" w:rsidP="00D32247">
      <w:r w:rsidRPr="00D32247">
        <w:t xml:space="preserve">ii) δεν υποβληθούν στο προκαθορισμένο χρονικό διάστημα τα απαιτούμενα πρωτότυπα ή αντίγραφα των παραπάνω δικαιολογητικών, ή </w:t>
      </w:r>
    </w:p>
    <w:p w:rsidR="00D32247" w:rsidRPr="00D32247" w:rsidRDefault="00D32247" w:rsidP="00D32247">
      <w:r w:rsidRPr="00D32247">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D32247" w:rsidRPr="00D32247" w:rsidRDefault="00D32247" w:rsidP="00D32247">
      <w:r w:rsidRPr="00D32247">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D32247">
        <w:t>οψιγενείς</w:t>
      </w:r>
      <w:proofErr w:type="spellEnd"/>
      <w:r w:rsidRPr="00D32247">
        <w:t xml:space="preserve"> μεταβολές), δεν καταπίπτει υπέρ της Αναθέτουσας Αρχής η εγγύηση συμμετοχής του</w:t>
      </w:r>
      <w:r w:rsidRPr="00D32247">
        <w:footnoteReference w:id="113"/>
      </w:r>
      <w:r w:rsidRPr="00D32247">
        <w:t xml:space="preserve">. </w:t>
      </w:r>
    </w:p>
    <w:p w:rsidR="00D32247" w:rsidRPr="00D32247" w:rsidRDefault="00D32247" w:rsidP="00D32247">
      <w:r w:rsidRPr="00D32247">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D32247" w:rsidRPr="00D32247" w:rsidRDefault="00D32247" w:rsidP="00D32247">
      <w:r w:rsidRPr="00D32247">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D32247" w:rsidRPr="00D32247" w:rsidRDefault="00D32247" w:rsidP="00D32247"/>
    <w:p w:rsidR="00D32247" w:rsidRPr="00D32247" w:rsidRDefault="00D32247" w:rsidP="00D32247">
      <w:r w:rsidRPr="00D32247">
        <w:t xml:space="preserve"> </w:t>
      </w:r>
      <w:bookmarkStart w:id="68" w:name="_Toc108094118"/>
      <w:r w:rsidRPr="00D32247">
        <w:t>3.3</w:t>
      </w:r>
      <w:r w:rsidRPr="00D32247">
        <w:tab/>
        <w:t>Κατακύρωση - σύναψη σύμβασης</w:t>
      </w:r>
      <w:r w:rsidRPr="00D32247">
        <w:footnoteReference w:id="114"/>
      </w:r>
      <w:bookmarkEnd w:id="68"/>
      <w:r w:rsidRPr="00D32247">
        <w:t xml:space="preserve"> </w:t>
      </w:r>
    </w:p>
    <w:p w:rsidR="00D32247" w:rsidRPr="00D32247" w:rsidRDefault="00D32247" w:rsidP="00D32247">
      <w:r w:rsidRPr="00D32247">
        <w:t>3.3.1.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rsidR="00D32247" w:rsidRPr="00D32247" w:rsidRDefault="00D32247" w:rsidP="00D32247">
      <w:r w:rsidRPr="00D32247">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w:t>
      </w:r>
      <w:r w:rsidRPr="00D32247">
        <w:lastRenderedPageBreak/>
        <w:t xml:space="preserve">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rsidR="00D32247" w:rsidRPr="00D32247" w:rsidRDefault="00D32247" w:rsidP="00D32247">
      <w:r w:rsidRPr="00D32247">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w:t>
      </w:r>
      <w:r w:rsidRPr="00D32247">
        <w:footnoteReference w:id="115"/>
      </w:r>
      <w:r w:rsidRPr="00D32247">
        <w:t xml:space="preserve">. Κατά της απόφασης κατακύρωσης χωρεί προδικαστική προσφυγή ενώπιον της </w:t>
      </w:r>
      <w:bookmarkStart w:id="69" w:name="_Hlk126588644"/>
      <w:r w:rsidRPr="00D32247">
        <w:t>Ε.Α.ΔΗ.ΣΥ.</w:t>
      </w:r>
      <w:bookmarkEnd w:id="69"/>
      <w:r w:rsidRPr="00D32247">
        <w:t>, σύμφωνα με την παράγραφο 3.4 της παρούσας. Δεν επιτρέπεται η άσκηση άλλης διοικητικής προσφυγής κατά της ανωτέρω απόφασης.</w:t>
      </w:r>
      <w:r w:rsidRPr="00D32247">
        <w:footnoteReference w:id="116"/>
      </w:r>
    </w:p>
    <w:p w:rsidR="00D32247" w:rsidRPr="00D32247" w:rsidRDefault="00D32247" w:rsidP="00D32247"/>
    <w:p w:rsidR="00D32247" w:rsidRPr="00D32247" w:rsidRDefault="00D32247" w:rsidP="00D32247">
      <w:r w:rsidRPr="00D32247">
        <w:t>3.3.2. Η απόφαση κατακύρωσης καθίσταται οριστική, εφόσον συντρέξουν οι ακόλουθες προϋποθέσεις σωρευτικά:</w:t>
      </w:r>
    </w:p>
    <w:p w:rsidR="00D32247" w:rsidRPr="00D32247" w:rsidRDefault="00D32247" w:rsidP="00D32247">
      <w:r w:rsidRPr="00D32247">
        <w:t xml:space="preserve">α) κοινοποιηθεί η απόφαση κατακύρωσης σε όλους τους οικονομικούς φορείς που δεν έχουν αποκλειστεί οριστικά, </w:t>
      </w:r>
    </w:p>
    <w:p w:rsidR="00D32247" w:rsidRPr="00D32247" w:rsidRDefault="00D32247" w:rsidP="00D32247">
      <w:r w:rsidRPr="00D32247">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Ε.Α.ΔΗ.ΣΥ. και σε περίπτωση άσκησης αίτησης αναστολής κατά της απόφασης της Ε.Α.ΔΗ.ΣΥ., εκδοθεί απόφαση επί της αίτησης, με την επιφύλαξη της χορήγησης προσωρινής διαταγής, σύμφωνα με όσα ορίζονται  στο τελευταίο εδάφιο της </w:t>
      </w:r>
      <w:hyperlink r:id="rId15" w:anchor="art372_4" w:history="1">
        <w:r w:rsidRPr="00D32247">
          <w:t>παρ.</w:t>
        </w:r>
      </w:hyperlink>
      <w:hyperlink r:id="rId16" w:anchor="art372_4" w:history="1"/>
      <w:hyperlink r:id="rId17" w:anchor="art372_4" w:history="1">
        <w:r w:rsidRPr="00D32247">
          <w:t xml:space="preserve"> 4 του άρθρου 372</w:t>
        </w:r>
      </w:hyperlink>
      <w:r w:rsidRPr="00D32247">
        <w:t xml:space="preserve"> του ν. 4412/2016,</w:t>
      </w:r>
    </w:p>
    <w:p w:rsidR="00D32247" w:rsidRPr="00D32247" w:rsidRDefault="00D32247" w:rsidP="00D32247">
      <w:r w:rsidRPr="00D32247">
        <w:t xml:space="preserve">γ) ολοκληρωθεί επιτυχώς ο </w:t>
      </w:r>
      <w:proofErr w:type="spellStart"/>
      <w:r w:rsidRPr="00D32247">
        <w:t>προσυμβατικός</w:t>
      </w:r>
      <w:proofErr w:type="spellEnd"/>
      <w:r w:rsidRPr="00D32247">
        <w:t xml:space="preserve"> έλεγχος από το Ελεγκτικό Συνέδριο, σύμφωνα με τα άρθρα 324 έως 327 του ν. 4700/2020, εφόσον απαιτείται,</w:t>
      </w:r>
    </w:p>
    <w:p w:rsidR="00D32247" w:rsidRPr="00D32247" w:rsidRDefault="00D32247" w:rsidP="00D32247">
      <w:r w:rsidRPr="00D32247">
        <w:t>και </w:t>
      </w:r>
      <w:r w:rsidRPr="00D32247">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18" w:history="1">
        <w:r w:rsidRPr="00D32247">
          <w:t>άρθρο 79Α</w:t>
        </w:r>
      </w:hyperlink>
      <w:r w:rsidRPr="00D32247">
        <w:t xml:space="preserve"> του ν. 4412/2016, στην οποία δηλώνεται ότι, δεν έχουν επέλθει στο πρόσωπό του </w:t>
      </w:r>
      <w:proofErr w:type="spellStart"/>
      <w:r w:rsidRPr="00D32247">
        <w:t>οψιγενείς</w:t>
      </w:r>
      <w:proofErr w:type="spellEnd"/>
      <w:r w:rsidRPr="00D32247">
        <w:t xml:space="preserve"> μεταβολές κατά την έννοια του </w:t>
      </w:r>
      <w:hyperlink r:id="rId19" w:anchor="art104" w:history="1">
        <w:r w:rsidRPr="00D32247">
          <w:t>άρθρου 104</w:t>
        </w:r>
      </w:hyperlink>
      <w:r w:rsidRPr="00D32247">
        <w:t xml:space="preserve"> του ν. 4412/2016 και μόνον στην περίπτωση του </w:t>
      </w:r>
      <w:proofErr w:type="spellStart"/>
      <w:r w:rsidRPr="00D32247">
        <w:t>προσυμβατικού</w:t>
      </w:r>
      <w:proofErr w:type="spellEnd"/>
      <w:r w:rsidRPr="00D32247">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D32247">
        <w:t>οψιγενείς</w:t>
      </w:r>
      <w:proofErr w:type="spellEnd"/>
      <w:r w:rsidRPr="00D32247">
        <w:t xml:space="preserve"> μεταβολές, η δήλωση ελέγχεται από την Επιτροπή Διαγωνισμού, η οποία εισηγείται προς το αρμόδιο αποφαινόμενο όργανο.</w:t>
      </w:r>
    </w:p>
    <w:p w:rsidR="00D32247" w:rsidRPr="00D32247" w:rsidRDefault="00D32247" w:rsidP="00D32247"/>
    <w:p w:rsidR="00D32247" w:rsidRPr="00D32247" w:rsidRDefault="00D32247" w:rsidP="00D32247">
      <w:r w:rsidRPr="00D32247">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D32247" w:rsidRPr="00D32247" w:rsidRDefault="00D32247" w:rsidP="00D32247">
      <w:bookmarkStart w:id="70" w:name="_Toc108094119"/>
      <w:r w:rsidRPr="00D32247">
        <w:t>3.4</w:t>
      </w:r>
      <w:r w:rsidRPr="00D32247">
        <w:tab/>
        <w:t>Προδικαστικές Προσφυγές - Προσωρινή και οριστική Δικαστική Προστασία</w:t>
      </w:r>
      <w:bookmarkEnd w:id="70"/>
    </w:p>
    <w:p w:rsidR="00D32247" w:rsidRPr="00D32247" w:rsidRDefault="00D32247" w:rsidP="00D32247">
      <w:bookmarkStart w:id="71" w:name="_Hlk89330452"/>
      <w:r w:rsidRPr="00D32247">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D32247">
        <w:t>ενωσιακής</w:t>
      </w:r>
      <w:proofErr w:type="spellEnd"/>
      <w:r w:rsidRPr="00D32247">
        <w:t xml:space="preserve"> ή εσωτερικής νομοθεσίας στον τομέα των δημοσίων συμβάσεων, έχει δικαίωμα να προσφύγει στην Ενιαία Αρχή Δημοσίων Συμβάσεων (Ε.Α.ΔΗ.ΣΥ.), σύμφωνα με τα ειδικότερα οριζόμενα στα άρθρα 345 </w:t>
      </w:r>
      <w:proofErr w:type="spellStart"/>
      <w:r w:rsidRPr="00D32247">
        <w:t>επ</w:t>
      </w:r>
      <w:proofErr w:type="spellEnd"/>
      <w:r w:rsidRPr="00D32247">
        <w:t xml:space="preserve">. ν. 4412/2016 και 1 </w:t>
      </w:r>
      <w:proofErr w:type="spellStart"/>
      <w:r w:rsidRPr="00D32247">
        <w:t>επ</w:t>
      </w:r>
      <w:proofErr w:type="spellEnd"/>
      <w:r w:rsidRPr="00D32247">
        <w:t xml:space="preserve">. </w:t>
      </w:r>
      <w:proofErr w:type="spellStart"/>
      <w:r w:rsidRPr="00D32247">
        <w:t>π.δ</w:t>
      </w:r>
      <w:proofErr w:type="spellEnd"/>
      <w:r w:rsidRPr="00D32247">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D32247" w:rsidRPr="00D32247" w:rsidRDefault="00D32247" w:rsidP="00D32247">
      <w:r w:rsidRPr="00D32247">
        <w:t>Σε περίπτωση προσφυγής κατά πράξης της αναθέτουσας αρχής, η προθεσμία για την άσκηση της προδικαστικής προσφυγής είναι:</w:t>
      </w:r>
    </w:p>
    <w:p w:rsidR="00D32247" w:rsidRPr="00D32247" w:rsidRDefault="00D32247" w:rsidP="00D32247">
      <w:r w:rsidRPr="00D32247">
        <w:lastRenderedPageBreak/>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D32247" w:rsidRPr="00D32247" w:rsidRDefault="00D32247" w:rsidP="00D32247">
      <w:r w:rsidRPr="00D32247">
        <w:t xml:space="preserve">(β) δεκαπέντε (15) ημέρες από την κοινοποίηση της προσβαλλόμενης πράξης σε αυτόν αν χρησιμοποιήθηκαν άλλα μέσα επικοινωνίας, άλλως  </w:t>
      </w:r>
    </w:p>
    <w:p w:rsidR="00D32247" w:rsidRPr="00D32247" w:rsidRDefault="00D32247" w:rsidP="00D32247">
      <w:r w:rsidRPr="00D32247">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D32247" w:rsidRPr="00D32247" w:rsidRDefault="00D32247" w:rsidP="00D32247">
      <w:r w:rsidRPr="00D32247">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D32247" w:rsidRPr="00D32247" w:rsidRDefault="00D32247" w:rsidP="00D32247">
      <w:r w:rsidRPr="00D32247">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 .</w:t>
      </w:r>
    </w:p>
    <w:p w:rsidR="00D32247" w:rsidRPr="00D32247" w:rsidRDefault="00D32247" w:rsidP="00D32247">
      <w:r w:rsidRPr="00D32247">
        <w:t xml:space="preserve">Η προδικαστική προσφυγή συντάσσεται υποχρεωτικά με τη χρήση του τυποποιημένου εντύπου του Παραρτήματος Ι του </w:t>
      </w:r>
      <w:proofErr w:type="spellStart"/>
      <w:r w:rsidRPr="00D32247">
        <w:t>π.δ</w:t>
      </w:r>
      <w:proofErr w:type="spellEnd"/>
      <w:r w:rsidRPr="00D32247">
        <w:t>/</w:t>
      </w:r>
      <w:proofErr w:type="spellStart"/>
      <w:r w:rsidRPr="00D32247">
        <w:t>τος</w:t>
      </w:r>
      <w:proofErr w:type="spellEnd"/>
      <w:r w:rsidRPr="00D32247">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D32247" w:rsidRPr="00D32247" w:rsidRDefault="00D32247" w:rsidP="00D32247">
      <w:r w:rsidRPr="00D32247">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προσφεύγοντα από την προσφυγή του έως και δέκα (10) ημέρες από την κατάθεση της προσφυγής. </w:t>
      </w:r>
    </w:p>
    <w:p w:rsidR="00D32247" w:rsidRPr="00D32247" w:rsidRDefault="00D32247" w:rsidP="00D32247">
      <w:r w:rsidRPr="00D32247">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το άρθρο 368 του ν. 4412/2016 και 20 </w:t>
      </w:r>
      <w:proofErr w:type="spellStart"/>
      <w:r w:rsidRPr="00D32247">
        <w:t>π.δ</w:t>
      </w:r>
      <w:proofErr w:type="spellEnd"/>
      <w:r w:rsidRPr="00D32247">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D32247">
        <w:t>π.δ</w:t>
      </w:r>
      <w:proofErr w:type="spellEnd"/>
      <w:r w:rsidRPr="00D32247">
        <w:t xml:space="preserve">. 39/2017. </w:t>
      </w:r>
    </w:p>
    <w:p w:rsidR="00D32247" w:rsidRPr="00D32247" w:rsidRDefault="00D32247" w:rsidP="00D32247">
      <w:r w:rsidRPr="00D32247">
        <w:t>Η προηγούμενη παράγραφος δεν εφαρμόζεται στην περίπτωση που, κατά τη διαδικασία σύναψης της παρούσας σύμβασης, υποβληθεί μόνο μία (1) προσφορά.</w:t>
      </w:r>
    </w:p>
    <w:p w:rsidR="00D32247" w:rsidRPr="00D32247" w:rsidRDefault="00D32247" w:rsidP="00D32247">
      <w:r w:rsidRPr="00D32247">
        <w:t xml:space="preserve">Μετά την, κατά τα ως άνω, ηλεκτρονική κατάθεση της προδικαστικής προσφυγής η αναθέτουσα αρχή,  μέσω της λειτουργίας «Επικοινωνία»  : </w:t>
      </w:r>
    </w:p>
    <w:p w:rsidR="00D32247" w:rsidRPr="00D32247" w:rsidRDefault="00D32247" w:rsidP="00D32247">
      <w:r w:rsidRPr="00D32247">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D32247">
        <w:t>π.δ</w:t>
      </w:r>
      <w:proofErr w:type="spellEnd"/>
      <w:r w:rsidRPr="00D32247">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D32247" w:rsidRPr="00D32247" w:rsidRDefault="00D32247" w:rsidP="00D32247">
      <w:r w:rsidRPr="00D32247">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D32247" w:rsidRPr="00D32247" w:rsidRDefault="00D32247" w:rsidP="00D32247">
      <w:r w:rsidRPr="00D32247">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D32247" w:rsidRPr="00D32247" w:rsidRDefault="00D32247" w:rsidP="00D32247">
      <w:r w:rsidRPr="00D32247">
        <w:lastRenderedPageBreak/>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D32247" w:rsidRPr="00D32247" w:rsidRDefault="00D32247" w:rsidP="00D32247">
      <w:r w:rsidRPr="00D32247">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D32247" w:rsidRPr="00D32247" w:rsidRDefault="00D32247" w:rsidP="00D32247">
      <w:r w:rsidRPr="00D32247">
        <w:t xml:space="preserve">Β. Όποιος έχει έννομο συμφέρον μπορεί να ζητήσει, με το ίδιο δικόγραφο εφαρμοζόμενων αναλογικά των διατάξεων του </w:t>
      </w:r>
      <w:proofErr w:type="spellStart"/>
      <w:r w:rsidRPr="00D32247">
        <w:t>π.δ</w:t>
      </w:r>
      <w:proofErr w:type="spellEnd"/>
      <w:r w:rsidRPr="00D32247">
        <w:t>. 18/1989, την αναστολή εκτέλεσης της απόφασης της Ε.Α.ΔΗ.ΣΥ. και την ακύρωσή της ενώπιον του αρμοδίου Διοικητικού Δικαστηρίου</w:t>
      </w:r>
      <w:r w:rsidRPr="00D32247">
        <w:footnoteReference w:id="117"/>
      </w:r>
      <w:r w:rsidRPr="00D32247">
        <w:t>. Το αυτό ισχύει και σε περίπτωση σιωπηρής απόρριψης της προδικαστικής προσφυγής από την Ε.Α.ΔΗ.ΣΥ.. Δικαίωμα άσκησης του ως άνω ένδικου βοηθήματος έχει και η αναθέτουσα αρχή, αν η Ε.Α.ΔΗ.ΣΥ. κάνει δεκτή την προδικαστική προσφυγή, αλλά και αυτός του οποίου έχει γίνει εν μέρει δεκτή η προδικαστική προσφυγή.</w:t>
      </w:r>
    </w:p>
    <w:p w:rsidR="00D32247" w:rsidRPr="00D32247" w:rsidRDefault="00D32247" w:rsidP="00D32247">
      <w:r w:rsidRPr="00D32247">
        <w:t xml:space="preserve">Με την απόφαση της Ε.Α.ΔΗ.ΣΥ. λογίζονται ως </w:t>
      </w:r>
      <w:proofErr w:type="spellStart"/>
      <w:r w:rsidRPr="00D32247">
        <w:t>συμπροσβαλλόμενες</w:t>
      </w:r>
      <w:proofErr w:type="spellEnd"/>
      <w:r w:rsidRPr="00D32247">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D32247" w:rsidRPr="00D32247" w:rsidRDefault="00D32247" w:rsidP="00D32247">
      <w:r w:rsidRPr="00D32247">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D32247">
        <w:t>οψιγενείς</w:t>
      </w:r>
      <w:proofErr w:type="spellEnd"/>
      <w:r w:rsidRPr="00D32247">
        <w:t xml:space="preserve"> ισχυρισμούς αναφορικά με τους επιτακτικούς λόγους δημοσίου συμφέροντος, οι οποίοι καθιστούν αναγκαία την άμεση ανάθεση της σύμβασης.</w:t>
      </w:r>
      <w:r w:rsidRPr="00D32247">
        <w:footnoteReference w:id="118"/>
      </w:r>
    </w:p>
    <w:p w:rsidR="00D32247" w:rsidRPr="00D32247" w:rsidRDefault="00D32247" w:rsidP="00D32247">
      <w:r w:rsidRPr="00D32247">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D32247">
        <w:footnoteReference w:id="119"/>
      </w:r>
    </w:p>
    <w:p w:rsidR="00D32247" w:rsidRPr="00D32247" w:rsidRDefault="00D32247" w:rsidP="00D32247">
      <w:r w:rsidRPr="00D32247">
        <w:t xml:space="preserve">Αντίγραφο της αίτησης με κλήση κοινοποιείται με τη φροντίδα του αιτούντος προς την </w:t>
      </w:r>
      <w:proofErr w:type="spellStart"/>
      <w:r w:rsidRPr="00D32247">
        <w:t>Ε.Α.ΔΗ.ΣΥ.,την</w:t>
      </w:r>
      <w:proofErr w:type="spellEnd"/>
      <w:r w:rsidRPr="00D32247">
        <w:t xml:space="preserve">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D32247" w:rsidRPr="00D32247" w:rsidRDefault="00D32247" w:rsidP="00D32247">
      <w:r w:rsidRPr="00D32247">
        <w:t xml:space="preserve">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w:t>
      </w:r>
      <w:r w:rsidRPr="00D32247">
        <w:lastRenderedPageBreak/>
        <w:t>της δικαστικής απόφασης εκδίδεται εντός δεκαπέντε (15) ημερών από τη συζήτηση της αίτησης ή από την προθεσμία για την υποβολή υπομνημάτων.</w:t>
      </w:r>
    </w:p>
    <w:p w:rsidR="00D32247" w:rsidRPr="00D32247" w:rsidRDefault="00D32247" w:rsidP="00D32247">
      <w:r w:rsidRPr="00D32247">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D32247">
        <w:footnoteReference w:id="120"/>
      </w:r>
      <w:r w:rsidRPr="00D32247">
        <w:t xml:space="preserve"> </w:t>
      </w:r>
      <w:bookmarkStart w:id="72" w:name="_Hlk89279337"/>
      <w:r w:rsidRPr="00D32247">
        <w:t xml:space="preserve">Για την άσκηση της αιτήσεως κατατίθεται παράβολο, σύμφωνα με τα ειδικότερα οριζόμενα στο άρθρο 372 παρ. 5 του Ν. 4412/2016.  </w:t>
      </w:r>
    </w:p>
    <w:p w:rsidR="00D32247" w:rsidRPr="00D32247" w:rsidRDefault="00D32247" w:rsidP="00D32247">
      <w:r w:rsidRPr="00D32247">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D32247">
        <w:t>π.δ</w:t>
      </w:r>
      <w:proofErr w:type="spellEnd"/>
      <w:r w:rsidRPr="00D32247">
        <w:t xml:space="preserve">. 18/1989. </w:t>
      </w:r>
    </w:p>
    <w:p w:rsidR="00D32247" w:rsidRPr="00D32247" w:rsidRDefault="00D32247" w:rsidP="00D32247">
      <w:r w:rsidRPr="00D32247">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D32247" w:rsidRPr="00D32247" w:rsidRDefault="00D32247" w:rsidP="00D32247">
      <w:r w:rsidRPr="00D32247">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D32247">
        <w:t>π.δ</w:t>
      </w:r>
      <w:proofErr w:type="spellEnd"/>
      <w:r w:rsidRPr="00D32247">
        <w:t>. 18/1989.</w:t>
      </w:r>
    </w:p>
    <w:bookmarkEnd w:id="71"/>
    <w:bookmarkEnd w:id="72"/>
    <w:p w:rsidR="00D32247" w:rsidRPr="00D32247" w:rsidRDefault="00D32247" w:rsidP="00D32247"/>
    <w:p w:rsidR="00D32247" w:rsidRPr="00D32247" w:rsidRDefault="00D32247" w:rsidP="00D32247">
      <w:bookmarkStart w:id="73" w:name="_Toc108094120"/>
      <w:r w:rsidRPr="00D32247">
        <w:t>3.5</w:t>
      </w:r>
      <w:r w:rsidRPr="00D32247">
        <w:tab/>
        <w:t>Ματαίωση Διαδικασίας</w:t>
      </w:r>
      <w:bookmarkEnd w:id="73"/>
    </w:p>
    <w:p w:rsidR="00D32247" w:rsidRPr="00D32247" w:rsidRDefault="00D32247" w:rsidP="00D32247">
      <w:r w:rsidRPr="00D32247">
        <w:t xml:space="preserve">Η αναθέτουσα αρχή ματαιώνει ή δύναται να ματαιώσει εν </w:t>
      </w:r>
      <w:proofErr w:type="spellStart"/>
      <w:r w:rsidRPr="00D32247">
        <w:t>όλω</w:t>
      </w:r>
      <w:proofErr w:type="spellEnd"/>
      <w:r w:rsidRPr="00D32247">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D32247" w:rsidRPr="00D32247" w:rsidRDefault="00D32247" w:rsidP="00D32247">
      <w:r w:rsidRPr="00D32247">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D32247" w:rsidRPr="00D32247" w:rsidRDefault="00D32247" w:rsidP="00D32247">
      <w:r w:rsidRPr="00D32247">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D32247" w:rsidRPr="00D32247" w:rsidRDefault="00D32247" w:rsidP="00D32247"/>
    <w:p w:rsidR="00D32247" w:rsidRPr="00D32247" w:rsidRDefault="00D32247" w:rsidP="00D32247"/>
    <w:p w:rsidR="00D32247" w:rsidRPr="00D32247" w:rsidRDefault="00D32247" w:rsidP="00D32247">
      <w:bookmarkStart w:id="74" w:name="_Toc108094121"/>
      <w:r w:rsidRPr="00D32247">
        <w:t>4.</w:t>
      </w:r>
      <w:r w:rsidRPr="00D32247">
        <w:tab/>
        <w:t>ΟΡΟΙ ΕΚΤΕΛΕΣΗΣ ΤΗΣ ΣΥΜΒΑΣΗΣ</w:t>
      </w:r>
      <w:bookmarkEnd w:id="74"/>
      <w:r w:rsidRPr="00D32247">
        <w:t xml:space="preserve"> </w:t>
      </w:r>
    </w:p>
    <w:p w:rsidR="00D32247" w:rsidRPr="00D32247" w:rsidRDefault="00D32247" w:rsidP="00D32247">
      <w:bookmarkStart w:id="75" w:name="_Toc108094122"/>
      <w:r w:rsidRPr="00D32247">
        <w:t>4.1</w:t>
      </w:r>
      <w:r w:rsidRPr="00D32247">
        <w:tab/>
        <w:t>Εγγυήσεις  (καλής εκτέλεσης, προκαταβολής, καλής λειτουργίας)</w:t>
      </w:r>
      <w:bookmarkEnd w:id="75"/>
    </w:p>
    <w:p w:rsidR="00D32247" w:rsidRPr="00D32247" w:rsidRDefault="00D32247" w:rsidP="00D32247">
      <w:r w:rsidRPr="00D32247">
        <w:t xml:space="preserve">4.1.1 Εγγύηση καλής εκτέλεσης: </w:t>
      </w:r>
    </w:p>
    <w:p w:rsidR="00D32247" w:rsidRPr="00D32247" w:rsidRDefault="00D32247" w:rsidP="00D32247">
      <w:r w:rsidRPr="00D32247">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w:t>
      </w:r>
      <w:r w:rsidRPr="00D32247">
        <w:lastRenderedPageBreak/>
        <w:t xml:space="preserve">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D32247" w:rsidRPr="00D32247" w:rsidRDefault="00D32247" w:rsidP="00D32247">
      <w:r w:rsidRPr="00D32247">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V της Διακήρυξης και τα οριζόμενα στο άρθρο 72 του ν. 4412/2016.</w:t>
      </w:r>
    </w:p>
    <w:p w:rsidR="00D32247" w:rsidRPr="00D32247" w:rsidRDefault="00D32247" w:rsidP="00D32247">
      <w:r w:rsidRPr="00D32247">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D32247" w:rsidRPr="00D32247" w:rsidRDefault="00D32247" w:rsidP="00D32247">
      <w:r w:rsidRPr="00D32247">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D32247" w:rsidRPr="00D32247" w:rsidRDefault="00D32247" w:rsidP="00D32247">
      <w:r w:rsidRPr="00D32247">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D32247" w:rsidRPr="00D32247" w:rsidRDefault="00D32247" w:rsidP="00D32247">
      <w:r w:rsidRPr="00D32247">
        <w:t>Ο χρόνος ισχύος της εγγύησης καλής εκτέλεσης πρέπει να είναι μεγαλύτερος από τον συμβατικό χρόνο φόρτωσης ή παράδοσης, για διάστημα ενός (1) μηνός.</w:t>
      </w:r>
    </w:p>
    <w:p w:rsidR="00D32247" w:rsidRPr="00D32247" w:rsidRDefault="00D32247" w:rsidP="00D32247">
      <w:r w:rsidRPr="00D32247">
        <w:t xml:space="preserve">Στην περίπτωση χορήγησης προκαταβολής, σύμφωνα με την παράγραφο 5.1.1. της παρούσας, απαιτείται από τον ανάδοχο «εγγύηση προκαταβολής» για ποσό ίσο με αυτό της προκαταβολής, σύμφωνα με το  άρθρο 72 παρ. 4 του ν. 4412/2016 και 2.1.5. της παρούσας. Η προκαταβολή και η εγγύηση προκαταβολής μπορούν να χορηγούνται τμηματικά, σύμφωνα με την παράγραφο 5.1. της παρούσας (τρόπος πληρωμής). </w:t>
      </w:r>
    </w:p>
    <w:p w:rsidR="00D32247" w:rsidRPr="00D32247" w:rsidRDefault="00D32247" w:rsidP="00D32247">
      <w:r w:rsidRPr="00D32247">
        <w:t>Η/Οι εγγύηση/εις καλής εκτέλεσης επιστρέφεται/</w:t>
      </w:r>
      <w:proofErr w:type="spellStart"/>
      <w:r w:rsidRPr="00D32247">
        <w:t>ονται</w:t>
      </w:r>
      <w:proofErr w:type="spellEnd"/>
      <w:r w:rsidRPr="00D32247">
        <w:t xml:space="preserve"> στο σύνολό του/ς μετά από την ποσοτική και ποιοτική παραλαβή του συνόλου του αντικειμένου της σύμβασης.</w:t>
      </w:r>
    </w:p>
    <w:p w:rsidR="00D32247" w:rsidRPr="00D32247" w:rsidRDefault="00D32247" w:rsidP="00D32247">
      <w:r w:rsidRPr="00D32247">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αγαθών. </w:t>
      </w:r>
    </w:p>
    <w:p w:rsidR="00D32247" w:rsidRPr="00D32247" w:rsidRDefault="00D32247" w:rsidP="00D32247">
      <w:r w:rsidRPr="00D32247">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[ή στην περίπτωση που τα υλικά είναι διαιρετά και η παράδοση γίνεται τμηματικά]: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D32247" w:rsidRPr="00D32247" w:rsidRDefault="00D32247" w:rsidP="00D32247"/>
    <w:p w:rsidR="00D32247" w:rsidRPr="00D32247" w:rsidRDefault="00D32247" w:rsidP="00D32247"/>
    <w:p w:rsidR="00D32247" w:rsidRPr="00D32247" w:rsidRDefault="00D32247" w:rsidP="00D32247">
      <w:r w:rsidRPr="00D32247">
        <w:t>4.1.2.  Εγγύηση καλής λειτουργίας</w:t>
      </w:r>
    </w:p>
    <w:p w:rsidR="00D32247" w:rsidRPr="00D32247" w:rsidRDefault="00D32247" w:rsidP="00D32247">
      <w:pPr>
        <w:rPr>
          <w:rFonts w:eastAsia="Calibri"/>
        </w:rPr>
      </w:pPr>
      <w:r w:rsidRPr="00D32247">
        <w:rPr>
          <w:rFonts w:eastAsia="Calibri"/>
        </w:rPr>
        <w:t>Ο Ανάδοχος θα πρέπει να παρέχει υπηρεσίες εγγυημένης λειτουργίας του εξοπλισμού, του συστήματος και των εφαρμογών, για χρονικό διάστημα τουλάχιστον ενός (1) έτους μετά την οριστική παραλαβή του έργου (περίοδος εγγυημένης λειτουργίας).</w:t>
      </w:r>
    </w:p>
    <w:p w:rsidR="00D32247" w:rsidRPr="00D32247" w:rsidRDefault="00D32247" w:rsidP="00D32247">
      <w:pPr>
        <w:rPr>
          <w:rFonts w:eastAsia="Calibri"/>
        </w:rPr>
      </w:pPr>
      <w:r w:rsidRPr="00D32247">
        <w:t xml:space="preserve">Απαιτείται η προσκόμιση «εγγύησης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Το ύψος της «εγγύησης καλής λειτουργίας» ορίζεται στο ποσό </w:t>
      </w:r>
      <w:r w:rsidRPr="00D32247">
        <w:rPr>
          <w:highlight w:val="yellow"/>
        </w:rPr>
        <w:t>των 10.000 ευρώ</w:t>
      </w:r>
      <w:r w:rsidRPr="00D32247">
        <w:t>. [Το ύψος της «εγγύησης καλής λειτουργίας» καθορίζεται στο σημείο αυτό και δεν μπορεί να υπερβαίνει το πέντε τοις εκατό (5%) της εκτιμώμενης αξίας της σύμβασης]. Η επιστροφή της ανωτέρω εγγύησης λαμβάνει χώρα μετά από την ολοκλήρωση της περιόδου εγγύησης καλής λειτουργίας, σύμφωνα και με τα οριζόμενα στην παράγραφο 6.5 της παρούσας</w:t>
      </w:r>
    </w:p>
    <w:p w:rsidR="00D32247" w:rsidRPr="00D32247" w:rsidRDefault="00D32247" w:rsidP="00D32247">
      <w:bookmarkStart w:id="76" w:name="_Toc108094123"/>
      <w:r w:rsidRPr="00D32247">
        <w:lastRenderedPageBreak/>
        <w:t xml:space="preserve">4.2 </w:t>
      </w:r>
      <w:r w:rsidRPr="00D32247">
        <w:tab/>
        <w:t>Συμβατικό Πλαίσιο - Εφαρμοστέα Νομοθεσία</w:t>
      </w:r>
      <w:bookmarkEnd w:id="76"/>
      <w:r w:rsidRPr="00D32247">
        <w:t xml:space="preserve"> </w:t>
      </w:r>
    </w:p>
    <w:p w:rsidR="00D32247" w:rsidRPr="00D32247" w:rsidRDefault="00D32247" w:rsidP="00D32247">
      <w:r w:rsidRPr="00D32247">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D32247" w:rsidRPr="00D32247" w:rsidRDefault="00D32247" w:rsidP="00D32247">
      <w:bookmarkStart w:id="77" w:name="_Toc108094124"/>
      <w:r w:rsidRPr="00D32247">
        <w:t>4.3</w:t>
      </w:r>
      <w:r w:rsidRPr="00D32247">
        <w:tab/>
        <w:t>Όροι εκτέλεσης της σύμβασης</w:t>
      </w:r>
      <w:bookmarkEnd w:id="77"/>
    </w:p>
    <w:p w:rsidR="00D32247" w:rsidRPr="00D32247" w:rsidRDefault="00D32247" w:rsidP="00D32247">
      <w:r w:rsidRPr="00D32247">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0" w:anchor="pararthma_A_X" w:history="1">
        <w:r w:rsidRPr="00D32247">
          <w:t>Παράρτημα X του Προσαρτήματος Α΄</w:t>
        </w:r>
      </w:hyperlink>
      <w:r w:rsidRPr="00D32247">
        <w:t>.</w:t>
      </w:r>
    </w:p>
    <w:p w:rsidR="00D32247" w:rsidRPr="00D32247" w:rsidRDefault="00D32247" w:rsidP="00D32247">
      <w:r w:rsidRPr="00D32247">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32247" w:rsidRPr="00D32247" w:rsidRDefault="00D32247" w:rsidP="00D32247">
      <w:r w:rsidRPr="00D32247">
        <w:t xml:space="preserve">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21" w:anchor="art105_4" w:history="1">
        <w:r w:rsidRPr="00D32247">
          <w:t>παραγράφου 4 του άρθρου 105</w:t>
        </w:r>
      </w:hyperlink>
      <w:r w:rsidRPr="00D32247">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2" w:anchor="art105_5" w:history="1">
        <w:r w:rsidRPr="00D32247">
          <w:t xml:space="preserve">παραγράφου </w:t>
        </w:r>
      </w:hyperlink>
      <w:hyperlink r:id="rId23" w:anchor="art105_5" w:history="1"/>
      <w:hyperlink r:id="rId24" w:anchor="art105_5" w:history="1">
        <w:r w:rsidRPr="00D32247">
          <w:t>7 του άρθρου 105</w:t>
        </w:r>
      </w:hyperlink>
      <w:r w:rsidRPr="00D32247">
        <w:t xml:space="preserve"> του ν. 4412/2016.</w:t>
      </w:r>
      <w:r w:rsidRPr="00D32247">
        <w:footnoteReference w:id="121"/>
      </w:r>
      <w:r w:rsidRPr="00D32247">
        <w:t>.</w:t>
      </w:r>
    </w:p>
    <w:p w:rsidR="00D32247" w:rsidRPr="00D32247" w:rsidRDefault="00D32247" w:rsidP="00D32247"/>
    <w:p w:rsidR="00D32247" w:rsidRPr="00D32247" w:rsidRDefault="00D32247" w:rsidP="00D32247">
      <w:bookmarkStart w:id="78" w:name="_Toc108094125"/>
      <w:r w:rsidRPr="00D32247">
        <w:t>4.4</w:t>
      </w:r>
      <w:r w:rsidRPr="00D32247">
        <w:tab/>
        <w:t>Υπεργολαβία</w:t>
      </w:r>
      <w:bookmarkEnd w:id="78"/>
    </w:p>
    <w:p w:rsidR="00D32247" w:rsidRPr="00D32247" w:rsidRDefault="00D32247" w:rsidP="00D32247">
      <w:r w:rsidRPr="00D32247">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D32247" w:rsidRPr="00D32247" w:rsidRDefault="00D32247" w:rsidP="00D32247">
      <w:r w:rsidRPr="00D32247">
        <w:t>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D32247">
        <w:footnoteReference w:id="122"/>
      </w:r>
      <w:r w:rsidRPr="00D32247">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D32247" w:rsidRPr="00D32247" w:rsidRDefault="00D32247" w:rsidP="00D32247">
      <w:r w:rsidRPr="00D32247">
        <w:t xml:space="preserve">4.4.3.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w:t>
      </w:r>
      <w:r w:rsidRPr="00D32247">
        <w:lastRenderedPageBreak/>
        <w:t xml:space="preserve">επαληθεύσει τους ως άνω λόγους και για τμήμα ή τμήματα της σύμβασης που υπολείπονται του ως άνω ποσοστού. </w:t>
      </w:r>
    </w:p>
    <w:p w:rsidR="00D32247" w:rsidRPr="00D32247" w:rsidRDefault="00D32247" w:rsidP="00D32247">
      <w:r w:rsidRPr="00D32247">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D32247" w:rsidRPr="00D32247" w:rsidRDefault="00D32247" w:rsidP="00D32247">
      <w:bookmarkStart w:id="79" w:name="_Toc108094126"/>
      <w:r w:rsidRPr="00D32247">
        <w:t>4.5</w:t>
      </w:r>
      <w:r w:rsidRPr="00D32247">
        <w:tab/>
        <w:t>Τροποποίηση σύμβασης κατά τη διάρκειά της</w:t>
      </w:r>
      <w:r w:rsidRPr="00D32247">
        <w:footnoteReference w:id="123"/>
      </w:r>
      <w:bookmarkEnd w:id="79"/>
    </w:p>
    <w:p w:rsidR="00D32247" w:rsidRPr="00D32247" w:rsidRDefault="00D32247" w:rsidP="00D32247">
      <w:r w:rsidRPr="00D32247">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D32247">
        <w:t>περ</w:t>
      </w:r>
      <w:proofErr w:type="spellEnd"/>
      <w:r w:rsidRPr="00D32247">
        <w:t>. β  της παρ. 11 του άρθρου 221 του ν. 4412/</w:t>
      </w:r>
      <w:r w:rsidRPr="00D32247">
        <w:footnoteReference w:id="124"/>
      </w:r>
      <w:r w:rsidRPr="00D32247">
        <w:t xml:space="preserve"> </w:t>
      </w:r>
      <w:r w:rsidRPr="00D32247">
        <w:footnoteReference w:id="125"/>
      </w:r>
    </w:p>
    <w:p w:rsidR="00D32247" w:rsidRPr="00D32247" w:rsidRDefault="00D32247" w:rsidP="00D32247">
      <w:r w:rsidRPr="00D32247">
        <w:t>Μετά τη λύση της σύμβασης λόγω της έκπτωσης του αναδόχου, σύμφωνα με το άρθρο 203 του ν. 4412/2016 και την παράγραφο 5.2. της παρούσας</w:t>
      </w:r>
      <w:r w:rsidRPr="00D32247">
        <w:footnoteReference w:id="126"/>
      </w:r>
      <w:r w:rsidRPr="00D32247">
        <w:t xml:space="preserve">, όπως και σε περίπτωση καταγγελίας για όλους λόγους της παραγράφου 4.6, πλην αυτού της </w:t>
      </w:r>
      <w:proofErr w:type="spellStart"/>
      <w:r w:rsidRPr="00D32247">
        <w:t>περ</w:t>
      </w:r>
      <w:proofErr w:type="spellEnd"/>
      <w:r w:rsidRPr="00D32247">
        <w:t>.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D32247">
        <w:footnoteReference w:id="127"/>
      </w:r>
      <w:r w:rsidRPr="00D32247">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D32247" w:rsidRPr="00D32247" w:rsidRDefault="00D32247" w:rsidP="00D32247"/>
    <w:p w:rsidR="00D32247" w:rsidRPr="00D32247" w:rsidRDefault="00D32247" w:rsidP="00D32247">
      <w:bookmarkStart w:id="80" w:name="_Toc108094127"/>
      <w:r w:rsidRPr="00D32247">
        <w:t>4.6</w:t>
      </w:r>
      <w:r w:rsidRPr="00D32247">
        <w:tab/>
        <w:t>Δικαίωμα μονομερούς λύσης της σύμβασης</w:t>
      </w:r>
      <w:r w:rsidRPr="00D32247">
        <w:footnoteReference w:id="128"/>
      </w:r>
      <w:bookmarkEnd w:id="80"/>
      <w:r w:rsidRPr="00D32247">
        <w:t xml:space="preserve"> </w:t>
      </w:r>
    </w:p>
    <w:p w:rsidR="00D32247" w:rsidRPr="00D32247" w:rsidRDefault="00D32247" w:rsidP="00D32247">
      <w:r w:rsidRPr="00D32247">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32247" w:rsidRPr="00D32247" w:rsidRDefault="00D32247" w:rsidP="00D32247">
      <w:r w:rsidRPr="00D32247">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D32247" w:rsidRPr="00D32247" w:rsidRDefault="00D32247" w:rsidP="00D32247">
      <w:r w:rsidRPr="00D32247">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32247" w:rsidRPr="00D32247" w:rsidRDefault="00D32247" w:rsidP="00D32247">
      <w:r w:rsidRPr="00D32247">
        <w:lastRenderedPageBreak/>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32247" w:rsidRPr="00D32247" w:rsidRDefault="00D32247" w:rsidP="00D32247"/>
    <w:p w:rsidR="00D32247" w:rsidRPr="00D32247" w:rsidRDefault="00D32247" w:rsidP="00D32247"/>
    <w:p w:rsidR="00D32247" w:rsidRPr="00D32247" w:rsidRDefault="00D32247" w:rsidP="00D32247">
      <w:bookmarkStart w:id="81" w:name="_Toc108094128"/>
      <w:r w:rsidRPr="00D32247">
        <w:t>5.</w:t>
      </w:r>
      <w:r w:rsidRPr="00D32247">
        <w:tab/>
        <w:t>ΕΙΔΙΚΟΙ ΟΡΟΙ ΕΚΤΕΛΕΣΗΣ ΤΗΣ ΣΥΜΒΑΣΗΣ</w:t>
      </w:r>
      <w:bookmarkEnd w:id="81"/>
      <w:r w:rsidRPr="00D32247">
        <w:t xml:space="preserve"> </w:t>
      </w:r>
    </w:p>
    <w:p w:rsidR="00D32247" w:rsidRPr="00D32247" w:rsidRDefault="00D32247" w:rsidP="00D32247">
      <w:bookmarkStart w:id="82" w:name="_Toc108094129"/>
      <w:r w:rsidRPr="00D32247">
        <w:t>5.1</w:t>
      </w:r>
      <w:r w:rsidRPr="00D32247">
        <w:tab/>
        <w:t>Τρόπος πληρωμής</w:t>
      </w:r>
      <w:r w:rsidRPr="00D32247">
        <w:footnoteReference w:id="129"/>
      </w:r>
      <w:bookmarkEnd w:id="82"/>
      <w:r w:rsidRPr="00D32247">
        <w:t xml:space="preserve"> </w:t>
      </w:r>
    </w:p>
    <w:p w:rsidR="00D32247" w:rsidRPr="00D32247" w:rsidRDefault="00D32247" w:rsidP="00D32247">
      <w:r w:rsidRPr="00D32247">
        <w:t xml:space="preserve">5.1.1. Η πληρωμή του αναδόχου θα πραγματοποιηθεί με τον πιο κάτω τρόπο : </w:t>
      </w:r>
    </w:p>
    <w:p w:rsidR="00D32247" w:rsidRPr="00D32247" w:rsidRDefault="00D32247" w:rsidP="00D32247">
      <w:r w:rsidRPr="00D32247">
        <w:t>α) Το 100% της συμβατικής αξίας μετά την οριστική παραλαβή των υλικών.</w:t>
      </w:r>
    </w:p>
    <w:p w:rsidR="00D32247" w:rsidRPr="00D32247" w:rsidRDefault="00D32247" w:rsidP="00D32247">
      <w:r w:rsidRPr="00D32247">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sidRPr="00D32247">
        <w:footnoteReference w:id="130"/>
      </w:r>
      <w:r w:rsidRPr="00D32247">
        <w:t xml:space="preserve">, καθώς και κάθε άλλου δικαιολογητικού που τυχόν ήθελε ζητηθεί από τις αρμόδιες υπηρεσίες που διενεργούν τον έλεγχο και την πληρωμή. </w:t>
      </w:r>
    </w:p>
    <w:p w:rsidR="00D32247" w:rsidRPr="00D32247" w:rsidRDefault="00D32247" w:rsidP="00D32247">
      <w:r w:rsidRPr="00D32247">
        <w:t>β) Με τη χορήγηση έντοκης προκαταβολής μέχρι ποσοστού πενήντα τοις εκατό (50%) % της συμβατικής αξίας χωρίς Φ.Π.Α., με την κατάθεση  ισόποσης εγγύησης, σύμφωνα με τα οριζόμενα στο άρθρο 72§7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w:t>
      </w:r>
    </w:p>
    <w:p w:rsidR="00D32247" w:rsidRPr="00D32247" w:rsidRDefault="00D32247" w:rsidP="00D32247">
      <w:r w:rsidRPr="00D32247">
        <w:t>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καταβολής της στον ανάδοχο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w:t>
      </w:r>
      <w:r w:rsidRPr="00D32247">
        <w:footnoteReference w:id="131"/>
      </w:r>
      <w:r w:rsidRPr="00D32247">
        <w:t xml:space="preserve"> το οποίο  θα παραμένει σταθερό μέχρι την εξάντληση του ποσού της χορηγηθείσας προκαταβολής</w:t>
      </w:r>
      <w:r w:rsidRPr="00D32247">
        <w:footnoteReference w:id="132"/>
      </w:r>
      <w:r w:rsidRPr="00D32247">
        <w:t>.</w:t>
      </w:r>
    </w:p>
    <w:p w:rsidR="00D32247" w:rsidRPr="00D32247" w:rsidRDefault="00D32247" w:rsidP="00D32247"/>
    <w:p w:rsidR="00D32247" w:rsidRPr="00D32247" w:rsidRDefault="00D32247" w:rsidP="00D32247">
      <w:r w:rsidRPr="00D32247">
        <w:t xml:space="preserve">5.1.2. </w:t>
      </w:r>
      <w:proofErr w:type="spellStart"/>
      <w:r w:rsidRPr="00D32247">
        <w:t>Toν</w:t>
      </w:r>
      <w:proofErr w:type="spellEnd"/>
      <w:r w:rsidRPr="00D32247">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D32247" w:rsidRPr="00D32247" w:rsidRDefault="00D32247" w:rsidP="00D32247">
      <w:r w:rsidRPr="00D32247">
        <w:t xml:space="preserve">α) Κράτηση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επιβάλλεται (αρ. 7 του Ν. 4912/2022 όπως ισχύει) </w:t>
      </w:r>
      <w:r w:rsidRPr="00D32247">
        <w:footnoteReference w:id="133"/>
      </w:r>
    </w:p>
    <w:p w:rsidR="00D32247" w:rsidRPr="00D32247" w:rsidRDefault="00D32247" w:rsidP="00D32247">
      <w:r w:rsidRPr="00D32247">
        <w:lastRenderedPageBreak/>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Pr="00D32247">
        <w:footnoteReference w:id="134"/>
      </w:r>
    </w:p>
    <w:p w:rsidR="00D32247" w:rsidRPr="00D32247" w:rsidRDefault="00D32247" w:rsidP="00D32247">
      <w:r w:rsidRPr="00D32247">
        <w:t>Οι υπέρ τρίτων κρατήσεις υπόκεινται στο εκάστοτε ισχύον αναλογικό τέλος χαρτοσήμου 3 % και στην επ’ αυτού εισφορά υπέρ ΟΓΑ 20 %.</w:t>
      </w:r>
    </w:p>
    <w:p w:rsidR="00D32247" w:rsidRPr="00D32247" w:rsidRDefault="00D32247" w:rsidP="00D32247">
      <w:r w:rsidRPr="00D32247">
        <w:t>Με κάθε πληρωμή θα γίνεται η προβλεπόμενη από την κείμενη νομοθεσία παρακράτηση φόρου εισοδήματος αξίας 4 % επί του καθαρού ποσού.</w:t>
      </w:r>
    </w:p>
    <w:p w:rsidR="00D32247" w:rsidRPr="00D32247" w:rsidRDefault="00D32247" w:rsidP="00D32247">
      <w:r w:rsidRPr="00D32247">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Οικονομικών (παρ. 6 του άρθρου 36 του ν. 4412/2016).</w:t>
      </w:r>
    </w:p>
    <w:p w:rsidR="00D32247" w:rsidRPr="00D32247" w:rsidRDefault="00D32247" w:rsidP="00D32247"/>
    <w:p w:rsidR="00D32247" w:rsidRPr="00D32247" w:rsidRDefault="00D32247" w:rsidP="00D32247">
      <w:bookmarkStart w:id="83" w:name="_Toc108094130"/>
      <w:r w:rsidRPr="00D32247">
        <w:t>5.2</w:t>
      </w:r>
      <w:r w:rsidRPr="00D32247">
        <w:tab/>
        <w:t>Κήρυξη οικονομικού φορέα εκπτώτου - Κυρώσεις</w:t>
      </w:r>
      <w:bookmarkEnd w:id="83"/>
      <w:r w:rsidRPr="00D32247">
        <w:t xml:space="preserve"> </w:t>
      </w:r>
    </w:p>
    <w:p w:rsidR="00D32247" w:rsidRPr="00D32247" w:rsidRDefault="00D32247" w:rsidP="00D32247">
      <w:r w:rsidRPr="00D32247">
        <w:t>5.2.1. Ο ανάδοχος κηρύσσεται υποχρεωτικά έκπτωτος</w:t>
      </w:r>
      <w:r w:rsidRPr="00D32247">
        <w:footnoteReference w:id="135"/>
      </w:r>
      <w:r w:rsidRPr="00D32247">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D32247" w:rsidRPr="00D32247" w:rsidRDefault="00D32247" w:rsidP="00D32247">
      <w:r w:rsidRPr="00D32247">
        <w:t>α) στην περίπτωση της παρ. 7 του άρθρου 105 περί κατακύρωσης και σύναψης σύμβασης,</w:t>
      </w:r>
    </w:p>
    <w:p w:rsidR="00D32247" w:rsidRPr="00D32247" w:rsidRDefault="00D32247" w:rsidP="00D32247">
      <w:r w:rsidRPr="00D32247">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D32247" w:rsidRPr="00D32247" w:rsidRDefault="00D32247" w:rsidP="00D32247">
      <w:r w:rsidRPr="00D32247">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D32247" w:rsidRPr="00D32247" w:rsidRDefault="00D32247" w:rsidP="00D32247">
      <w:r w:rsidRPr="00D32247">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D32247">
        <w:footnoteReference w:id="136"/>
      </w:r>
      <w:r w:rsidRPr="00D32247">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δεκαπέντε(15)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D32247" w:rsidRPr="00D32247" w:rsidRDefault="00D32247" w:rsidP="00D32247">
      <w:r w:rsidRPr="00D32247">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D32247" w:rsidRPr="00D32247" w:rsidRDefault="00D32247" w:rsidP="00D32247">
      <w:r w:rsidRPr="00D32247">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D32247" w:rsidRPr="00D32247" w:rsidRDefault="00D32247" w:rsidP="00D32247">
      <w:r w:rsidRPr="00D32247">
        <w:t>α) ολική κατάπτωση της εγγύησης συμμετοχής ή καλής εκτέλεσης της σύμβασης κατά περίπτωση,</w:t>
      </w:r>
    </w:p>
    <w:p w:rsidR="00D32247" w:rsidRPr="00D32247" w:rsidRDefault="00D32247" w:rsidP="00D32247">
      <w:r w:rsidRPr="00D32247">
        <w:t>β) -</w:t>
      </w:r>
    </w:p>
    <w:p w:rsidR="00D32247" w:rsidRPr="00D32247" w:rsidRDefault="00D32247" w:rsidP="00D32247">
      <w:r w:rsidRPr="00D32247">
        <w:lastRenderedPageBreak/>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D32247" w:rsidRPr="00D32247" w:rsidRDefault="00D32247" w:rsidP="00D32247">
      <w:r w:rsidRPr="00D32247">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D32247" w:rsidRPr="00D32247" w:rsidRDefault="00D32247" w:rsidP="00D32247">
      <w:r w:rsidRPr="00D32247">
        <w:t>ΤΚΤ = Τιμή κατακύρωσης της προμήθειας των αγαθών, που δεν προσκομίστηκαν προσηκόντως από τον έκπτωτο οικονομικό φορέα στον νέο ανάδοχο.</w:t>
      </w:r>
    </w:p>
    <w:p w:rsidR="00D32247" w:rsidRPr="00D32247" w:rsidRDefault="00D32247" w:rsidP="00D32247">
      <w:r w:rsidRPr="00D32247">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D32247" w:rsidRPr="00D32247" w:rsidRDefault="00D32247" w:rsidP="00D32247">
      <w:r w:rsidRPr="00D32247">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D32247" w:rsidRPr="00D32247" w:rsidRDefault="00D32247" w:rsidP="00D32247">
      <w:r w:rsidRPr="00D32247">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D32247" w:rsidRPr="00D32247" w:rsidRDefault="00D32247" w:rsidP="00D32247">
      <w:pPr>
        <w:rPr>
          <w:rFonts w:eastAsia="SimSun"/>
        </w:rPr>
      </w:pPr>
      <w:r w:rsidRPr="00D32247">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rsidR="00D32247" w:rsidRPr="00D32247" w:rsidRDefault="00D32247" w:rsidP="00D32247"/>
    <w:p w:rsidR="00D32247" w:rsidRPr="00D32247" w:rsidRDefault="00D32247" w:rsidP="00D32247">
      <w:r w:rsidRPr="00D32247">
        <w:t>5.2.2.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D32247">
        <w:footnoteReference w:id="137"/>
      </w:r>
      <w:r w:rsidRPr="00D32247">
        <w:t xml:space="preserve"> πέντε τοις εκατό (5%) επί της συμβατικής αξίας της ποσότητας που παραδόθηκε εκπρόθεσμα.</w:t>
      </w:r>
    </w:p>
    <w:p w:rsidR="00D32247" w:rsidRPr="00D32247" w:rsidRDefault="00D32247" w:rsidP="00D32247">
      <w:r w:rsidRPr="00D32247">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D32247" w:rsidRPr="00D32247" w:rsidRDefault="00D32247" w:rsidP="00D32247">
      <w:r w:rsidRPr="00D32247">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D32247" w:rsidRPr="00D32247" w:rsidRDefault="00D32247" w:rsidP="00D32247">
      <w:r w:rsidRPr="00D32247">
        <w:t xml:space="preserve">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w:t>
      </w:r>
      <w:r w:rsidRPr="00D32247">
        <w:lastRenderedPageBreak/>
        <w:t>κατάπτωση της εγγύησης καλής εκτέλεσης και προκαταβολής αντίστοιχα, εφόσον ο ανάδοχος δεν καταθέσει το απαιτούμενο ποσό.</w:t>
      </w:r>
    </w:p>
    <w:p w:rsidR="00D32247" w:rsidRPr="00D32247" w:rsidRDefault="00D32247" w:rsidP="00D32247">
      <w:r w:rsidRPr="00D32247">
        <w:t>Σε περίπτωση ένωσης οικονομικών φορέων, το πρόστιμο και οι τόκοι επιβάλλονται αναλόγως σε όλα τα μέλη της ένωσης.</w:t>
      </w:r>
    </w:p>
    <w:p w:rsidR="00D32247" w:rsidRPr="00D32247" w:rsidRDefault="00D32247" w:rsidP="00D32247">
      <w:bookmarkStart w:id="84" w:name="_Toc108094131"/>
      <w:r w:rsidRPr="00D32247">
        <w:t>5.3</w:t>
      </w:r>
      <w:r w:rsidRPr="00D32247">
        <w:tab/>
        <w:t>Διοικητικές προσφυγές κατά τη διαδικασία εκτέλεσης των συμβάσεων</w:t>
      </w:r>
      <w:r w:rsidRPr="00D32247">
        <w:footnoteReference w:id="138"/>
      </w:r>
      <w:bookmarkEnd w:id="84"/>
      <w:r w:rsidRPr="00D32247">
        <w:t xml:space="preserve">  </w:t>
      </w:r>
    </w:p>
    <w:p w:rsidR="00D32247" w:rsidRPr="00D32247" w:rsidRDefault="00D32247" w:rsidP="00D32247">
      <w:r w:rsidRPr="00D32247">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D32247">
        <w:t>β΄</w:t>
      </w:r>
      <w:proofErr w:type="spellEnd"/>
      <w:r w:rsidRPr="00D32247">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D32247" w:rsidRPr="00D32247" w:rsidRDefault="00D32247" w:rsidP="00D32247">
      <w:bookmarkStart w:id="85" w:name="_Toc108094132"/>
      <w:r w:rsidRPr="00D32247">
        <w:t>5.4</w:t>
      </w:r>
      <w:r w:rsidRPr="00D32247">
        <w:tab/>
        <w:t>Δικαστική επίλυση διαφορών</w:t>
      </w:r>
      <w:bookmarkEnd w:id="85"/>
    </w:p>
    <w:p w:rsidR="00D32247" w:rsidRPr="00D32247" w:rsidRDefault="00D32247" w:rsidP="00D32247">
      <w:r w:rsidRPr="00D32247">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D32247">
        <w:footnoteReference w:id="139"/>
      </w:r>
      <w:r w:rsidRPr="00D32247">
        <w:t xml:space="preserve">. Πριν από την άσκηση της προσφυγής στο Διοικητικό Εφετείο προηγείται υποχρεωτικά η τήρηση της </w:t>
      </w:r>
      <w:proofErr w:type="spellStart"/>
      <w:r w:rsidRPr="00D32247">
        <w:t>ενδικοφανούς</w:t>
      </w:r>
      <w:proofErr w:type="spellEnd"/>
      <w:r w:rsidRPr="00D32247">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D32247">
        <w:t>ενδικοφανούς</w:t>
      </w:r>
      <w:proofErr w:type="spellEnd"/>
      <w:r w:rsidRPr="00D32247">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D32247" w:rsidRPr="00D32247" w:rsidRDefault="00D32247" w:rsidP="00D32247">
      <w:bookmarkStart w:id="86" w:name="_Toc108094133"/>
      <w:r w:rsidRPr="00D32247">
        <w:t>6.</w:t>
      </w:r>
      <w:r w:rsidRPr="00D32247">
        <w:tab/>
        <w:t>ΧΡΟΝΟΣ ΚΑΙ ΤΡΟΠΟΣ ΕΚΤΕΛΕΣΗΣ</w:t>
      </w:r>
      <w:bookmarkEnd w:id="86"/>
      <w:r w:rsidRPr="00D32247">
        <w:t xml:space="preserve"> </w:t>
      </w:r>
    </w:p>
    <w:p w:rsidR="00D32247" w:rsidRPr="00D32247" w:rsidRDefault="00D32247" w:rsidP="00D32247">
      <w:bookmarkStart w:id="87" w:name="_Toc108094134"/>
      <w:r w:rsidRPr="00D32247">
        <w:t xml:space="preserve">6.1 </w:t>
      </w:r>
      <w:r w:rsidRPr="00D32247">
        <w:tab/>
        <w:t>Χρόνος παράδοσης υλικών</w:t>
      </w:r>
      <w:bookmarkEnd w:id="87"/>
    </w:p>
    <w:p w:rsidR="00D32247" w:rsidRPr="00D32247" w:rsidRDefault="00D32247" w:rsidP="00D32247">
      <w:r w:rsidRPr="00D32247">
        <w:t>6.1.1. Ο ανάδοχος υποχρεούται να παραδώσει τα είδη εντός οκτώ (8) μηνών από την ημερομηνία υπογραφής της σύμβασης.</w:t>
      </w:r>
    </w:p>
    <w:p w:rsidR="00D32247" w:rsidRPr="00D32247" w:rsidRDefault="00D32247" w:rsidP="00D32247">
      <w:r w:rsidRPr="00D32247">
        <w:t xml:space="preserve">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του Ν.4412/20216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w:t>
      </w:r>
      <w:r w:rsidRPr="00D32247">
        <w:lastRenderedPageBreak/>
        <w:t>παράδοσης.  Στην περίπτωση παράτασης του συμβατικού χρόνου παράδοσης, ο χρόνος παράτασης δεν συνυπολογίζεται στον συμβατικό χρόνο παράδοσης</w:t>
      </w:r>
      <w:r w:rsidRPr="00D32247">
        <w:footnoteReference w:id="140"/>
      </w:r>
      <w:r w:rsidRPr="00D32247">
        <w:t>.</w:t>
      </w:r>
    </w:p>
    <w:p w:rsidR="00D32247" w:rsidRPr="00D32247" w:rsidRDefault="00D32247" w:rsidP="00D32247">
      <w:r w:rsidRPr="00D32247">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D32247" w:rsidRPr="00D32247" w:rsidRDefault="00D32247" w:rsidP="00D32247">
      <w:r w:rsidRPr="00D32247">
        <w:t xml:space="preserve">Με αιτιολογημένη απόφαση του αρμόδιου αποφαινόμενου οργάνου, η οποία εκδίδεται ύστερα από γνωμοδότηση του οργάνου της </w:t>
      </w:r>
      <w:proofErr w:type="spellStart"/>
      <w:r w:rsidRPr="00D32247">
        <w:t>περ</w:t>
      </w:r>
      <w:proofErr w:type="spellEnd"/>
      <w:r w:rsidRPr="00D32247">
        <w:t>.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D32247" w:rsidRPr="00D32247" w:rsidRDefault="00D32247" w:rsidP="00D32247">
      <w:r w:rsidRPr="00D32247">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D32247" w:rsidRPr="00D32247" w:rsidRDefault="00D32247" w:rsidP="00D32247">
      <w:r w:rsidRPr="00D32247">
        <w:t>6.1.3.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D32247" w:rsidRPr="00D32247" w:rsidRDefault="00D32247" w:rsidP="00D32247">
      <w:r w:rsidRPr="00D32247">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D32247" w:rsidRPr="00D32247" w:rsidRDefault="00D32247" w:rsidP="00D32247">
      <w:bookmarkStart w:id="88" w:name="_Toc108094135"/>
      <w:r w:rsidRPr="00D32247">
        <w:t xml:space="preserve">6.2 </w:t>
      </w:r>
      <w:r w:rsidRPr="00D32247">
        <w:tab/>
        <w:t>Παραλαβή υλικών - Χρόνος και τρόπος παραλαβής υλικών</w:t>
      </w:r>
      <w:bookmarkEnd w:id="88"/>
    </w:p>
    <w:p w:rsidR="00D32247" w:rsidRPr="00D32247" w:rsidRDefault="00D32247" w:rsidP="00D32247">
      <w:r w:rsidRPr="00D32247">
        <w:t xml:space="preserve">6.2.1. H παραλαβή των υλικών γίνεται από επιτροπές, πρωτοβάθμιες ή και δευτεροβάθμιες, που συγκροτούνται σύμφωνα με την παρ. 11 </w:t>
      </w:r>
      <w:proofErr w:type="spellStart"/>
      <w:r w:rsidRPr="00D32247">
        <w:t>περ</w:t>
      </w:r>
      <w:proofErr w:type="spellEnd"/>
      <w:r w:rsidRPr="00D32247">
        <w:t>. β του άρθρου 221 του Ν.4412/16</w:t>
      </w:r>
      <w:r w:rsidRPr="00D32247">
        <w:footnoteReference w:id="141"/>
      </w:r>
      <w:r w:rsidRPr="00D32247">
        <w:t xml:space="preserve"> σύμφωνα με τα οριζόμενα στο άρθρο 208 του ως άνω νόμου. Κατά τη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μακροσκοπικό έλεγχο. </w:t>
      </w:r>
    </w:p>
    <w:p w:rsidR="00D32247" w:rsidRPr="00D32247" w:rsidRDefault="00D32247" w:rsidP="00D32247">
      <w:r w:rsidRPr="00D32247">
        <w:t>Το κόστος της διενέργειας των ελέγχων βαρύνει τον ανάδοχο.</w:t>
      </w:r>
    </w:p>
    <w:p w:rsidR="00D32247" w:rsidRPr="00D32247" w:rsidRDefault="00D32247" w:rsidP="00D32247">
      <w:r w:rsidRPr="00D32247">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D32247" w:rsidRPr="00D32247" w:rsidRDefault="00D32247" w:rsidP="00D32247">
      <w:r w:rsidRPr="00D32247">
        <w:t>Τα πρωτόκολλα που συντάσσονται από τις επιτροπές (πρωτοβάθμιες – δευτεροβάθμιες) κοινοποιούνται υποχρεωτικά και στους αναδόχους.</w:t>
      </w:r>
    </w:p>
    <w:p w:rsidR="00D32247" w:rsidRPr="00D32247" w:rsidRDefault="00D32247" w:rsidP="00D32247">
      <w:r w:rsidRPr="00D32247">
        <w:t xml:space="preserve">Υλικά που απορρίφθηκαν ή κρίθηκαν </w:t>
      </w:r>
      <w:proofErr w:type="spellStart"/>
      <w:r w:rsidRPr="00D32247">
        <w:t>παραληπτέα</w:t>
      </w:r>
      <w:proofErr w:type="spellEnd"/>
      <w:r w:rsidRPr="00D32247">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D32247" w:rsidRPr="00D32247" w:rsidRDefault="00D32247" w:rsidP="00D32247">
      <w:r w:rsidRPr="00D32247">
        <w:lastRenderedPageBreak/>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D32247">
        <w:t>κατ΄εφεση</w:t>
      </w:r>
      <w:proofErr w:type="spellEnd"/>
      <w:r w:rsidRPr="00D32247">
        <w:t xml:space="preserve"> των οικείων </w:t>
      </w:r>
      <w:proofErr w:type="spellStart"/>
      <w:r w:rsidRPr="00D32247">
        <w:t>αντιδειγμάτων</w:t>
      </w:r>
      <w:proofErr w:type="spellEnd"/>
      <w:r w:rsidRPr="00D32247">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D32247" w:rsidRPr="00D32247" w:rsidRDefault="00D32247" w:rsidP="00D32247">
      <w:r w:rsidRPr="00D32247">
        <w:t>Το αποτέλεσμα  της κατ’ έφεση εξέτασης είναι υποχρεωτικό και τελεσίδικο και για τα δύο μέρη.</w:t>
      </w:r>
    </w:p>
    <w:p w:rsidR="00D32247" w:rsidRPr="00D32247" w:rsidRDefault="00D32247" w:rsidP="00D32247">
      <w:r w:rsidRPr="00D32247">
        <w:t>Ο ανάδοχος δεν μπορεί να ζητήσει παραπομπή σε δευτεροβάθμια επιτροπή παραλαβής μετά τα αποτελέσματα της κατ’ έφεση εξέτασης.</w:t>
      </w:r>
    </w:p>
    <w:p w:rsidR="00D32247" w:rsidRPr="00D32247" w:rsidRDefault="00D32247" w:rsidP="00D32247">
      <w:r w:rsidRPr="00D32247">
        <w:t xml:space="preserve">6.2.2. Η παραλαβή των υλικών και η έκδοση των σχετικών πρωτοκόλλων παραλαβής πραγματοποιείται μέσα στους κατωτέρω καθοριζόμενους χρόνους: </w:t>
      </w:r>
      <w:r w:rsidRPr="00D32247">
        <w:rPr>
          <w:highlight w:val="yellow"/>
        </w:rPr>
        <w:t>8 μήνες.</w:t>
      </w:r>
    </w:p>
    <w:p w:rsidR="00D32247" w:rsidRPr="00D32247" w:rsidRDefault="00D32247" w:rsidP="00D32247">
      <w:r w:rsidRPr="00D32247">
        <w:t>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D32247" w:rsidRPr="00D32247" w:rsidRDefault="00D32247" w:rsidP="00D32247">
      <w:r w:rsidRPr="00D32247">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D32247">
        <w:footnoteReference w:id="142"/>
      </w:r>
    </w:p>
    <w:p w:rsidR="00D32247" w:rsidRPr="00D32247" w:rsidRDefault="00D32247" w:rsidP="00D32247"/>
    <w:p w:rsidR="00D32247" w:rsidRPr="00D32247" w:rsidRDefault="00D32247" w:rsidP="00D32247">
      <w:bookmarkStart w:id="89" w:name="_Toc108094136"/>
      <w:r w:rsidRPr="00D32247">
        <w:t xml:space="preserve">6.3 </w:t>
      </w:r>
      <w:r w:rsidRPr="00D32247">
        <w:tab/>
        <w:t>Ειδικοί όροι ναύλωσης – ασφάλισης - ανακοίνωσης φόρτωσης και ποιοτικού ελέγχου στο εξωτερικό</w:t>
      </w:r>
      <w:bookmarkEnd w:id="89"/>
    </w:p>
    <w:p w:rsidR="00D32247" w:rsidRPr="00D32247" w:rsidRDefault="00D32247" w:rsidP="00D32247">
      <w:r w:rsidRPr="00D32247">
        <w:t xml:space="preserve">Μέχρι να τεθεί ολόκληρο το έργο σε πλήρη λειτουργία θεματοφύλακας των υλικών που έχει προσκομισθεί ορίζεται ο προμηθευτής. Τα υλικά αυτά μπορούν να αποθηκευτούν σε αποθήκες ή χώρους της Υπηρεσίας μετά από αίτημα του προμηθευτή, την ευθύνη όμως θα εξακολουθήσει να έχει ο προμηθευτής. Όλα τα υλικά και εγκαταστάσεις των εργασιών θα πρέπει να ασφαλιστούν από τον προμηθευτή κατά παντός κινδύνου (κλοπή, πυρκαγιά </w:t>
      </w:r>
      <w:proofErr w:type="spellStart"/>
      <w:r w:rsidRPr="00D32247">
        <w:t>κ.λ.π</w:t>
      </w:r>
      <w:proofErr w:type="spellEnd"/>
      <w:r w:rsidRPr="00D32247">
        <w:t>.) σε αναγνωρισμένη ασφαλιστική εταιρεία και μέχρι την ημερομηνία οριστικής παράδοσης του συστήματος. Το ασφαλιστήριο συμβόλαιο θα προσκομισθεί στην Υπηρεσία και αποτελεί προϋπόθεση για την προώθηση των αντίστοιχων πληρωμών</w:t>
      </w:r>
    </w:p>
    <w:p w:rsidR="00D32247" w:rsidRPr="00D32247" w:rsidRDefault="00D32247" w:rsidP="00D32247">
      <w:r w:rsidRPr="00D32247">
        <w:t>Πριν από τη φόρτωσή του εξοπλισμού που περιλαμβάνει η σύμβαση στο εργοστάσιο του οίκου κατασκευής  ή κατά το στάδιο κατασκευής τους, η αναθέτουσα αρχή μπορεί αποστείλει επιτροπή από εξειδικευμένους υπαλλήλους ή την επιτροπή παραλαβής, για τη διενέργεια του ελέγχου σύμφωνα με τις κείμενες διατάξεις περί δημοσίων συμβάσεων, τον ποιοτικό και ποσοτικό έλεγχο. Στην περίπτωση αυτή, η οριστική παραλαβή του υλικού γίνεται στην Ελλάδα από την αρμόδια επιτροπή παραλαβής, σύμφωνα με τα οριζόμενα από τη σύμβαση και τις κείμενες διατάξεις. Έναντι της επιτροπής ο οικονομικός φορέας έχει τις εξής υποχρεώσεις:</w:t>
      </w:r>
    </w:p>
    <w:p w:rsidR="00D32247" w:rsidRPr="00D32247" w:rsidRDefault="00D32247" w:rsidP="00D32247">
      <w:r w:rsidRPr="00D32247">
        <w:lastRenderedPageBreak/>
        <w:t xml:space="preserve">α) Να διαθέτει τα απαιτούμενα τεχνικά μέσα και εργατοτεχνικό προσωπικό, ιδίως για μετακίνηση, μετατόπιση, </w:t>
      </w:r>
      <w:proofErr w:type="spellStart"/>
      <w:r w:rsidRPr="00D32247">
        <w:t>στοιβασία</w:t>
      </w:r>
      <w:proofErr w:type="spellEnd"/>
      <w:r w:rsidRPr="00D32247">
        <w:t xml:space="preserve"> του προς έλεγχο υλικού και για κάθε άλλη ενέργεια που είναι αναγκαία για τον έλεγχο.</w:t>
      </w:r>
    </w:p>
    <w:p w:rsidR="00D32247" w:rsidRPr="00D32247" w:rsidRDefault="00D32247" w:rsidP="00D32247">
      <w:r w:rsidRPr="00D32247">
        <w:t>β) Να διαθέτει για την εξακρίβωση της ποιότητας του προς έλεγχο υλικού όσα τεχνικά μέσα έχει στην διάθεση του.</w:t>
      </w:r>
    </w:p>
    <w:p w:rsidR="00D32247" w:rsidRPr="00D32247" w:rsidRDefault="00D32247" w:rsidP="00D32247">
      <w:r w:rsidRPr="00D32247">
        <w:t>γ) Να ενημερώνει την επιτροπή, σχετικά με την πορεία εκτέλεσης της παραγγελίας.</w:t>
      </w:r>
    </w:p>
    <w:p w:rsidR="00D32247" w:rsidRPr="00D32247" w:rsidRDefault="00D32247" w:rsidP="00D32247">
      <w:r w:rsidRPr="00D32247">
        <w:t>δ) Σε περίπτωση απόρριψης των υλικών, ο οικονομικός φορέας βαρύνεται με τα έξοδα που θα προκύψουν από τον απαιτούμενο έλεγχο ή ελέγχους.</w:t>
      </w:r>
    </w:p>
    <w:p w:rsidR="00D32247" w:rsidRPr="00D32247" w:rsidRDefault="00D32247" w:rsidP="00D32247">
      <w:r w:rsidRPr="00D32247">
        <w:t xml:space="preserve">Η αξία των δειγμάτων και </w:t>
      </w:r>
      <w:proofErr w:type="spellStart"/>
      <w:r w:rsidRPr="00D32247">
        <w:t>αντιδειγμάτων</w:t>
      </w:r>
      <w:proofErr w:type="spellEnd"/>
      <w:r w:rsidRPr="00D32247">
        <w:t xml:space="preserve"> του υλικού, όπου τούτο απαιτείται, κατά τον έλεγχο στο εξωτερικό, βαρύνει τον οικονομικό φορέα.</w:t>
      </w:r>
    </w:p>
    <w:p w:rsidR="00D32247" w:rsidRPr="00D32247" w:rsidRDefault="00D32247" w:rsidP="00D32247">
      <w:r w:rsidRPr="00D32247">
        <w:t>Η επιτροπή υποχρεούται, αν διαπιστωθεί κατά τον έλεγχο ότι το υλικό δεν ανταποκρίνεται στις απαιτήσεις της σύμβασης, να μην εκδώσει το πιστοποιητικό ελέγχου.</w:t>
      </w:r>
      <w:bookmarkStart w:id="90" w:name="__RefHeading___Toc470009833"/>
      <w:bookmarkEnd w:id="90"/>
    </w:p>
    <w:p w:rsidR="00D32247" w:rsidRPr="00D32247" w:rsidRDefault="00D32247" w:rsidP="00D32247"/>
    <w:p w:rsidR="00D32247" w:rsidRPr="00D32247" w:rsidRDefault="00D32247" w:rsidP="00D32247">
      <w:pPr>
        <w:rPr>
          <w:rFonts w:eastAsia="SimSun"/>
        </w:rPr>
      </w:pPr>
      <w:bookmarkStart w:id="91" w:name="_Toc108094137"/>
      <w:r w:rsidRPr="00D32247">
        <w:t xml:space="preserve">6.4 </w:t>
      </w:r>
      <w:r w:rsidRPr="00D32247">
        <w:tab/>
        <w:t>Απόρριψη συμβατικών υλικών – Αντικατάσταση</w:t>
      </w:r>
      <w:bookmarkEnd w:id="91"/>
    </w:p>
    <w:p w:rsidR="00D32247" w:rsidRPr="00D32247" w:rsidRDefault="00D32247" w:rsidP="00D32247">
      <w:pPr>
        <w:rPr>
          <w:rFonts w:eastAsia="SimSun"/>
        </w:rPr>
      </w:pPr>
      <w:r w:rsidRPr="00D32247">
        <w:rPr>
          <w:rFonts w:eastAsia="SimSun"/>
        </w:rPr>
        <w:t>6.4.1.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D32247" w:rsidRPr="00D32247" w:rsidRDefault="00D32247" w:rsidP="00D32247">
      <w:pPr>
        <w:rPr>
          <w:rFonts w:eastAsia="SimSun"/>
        </w:rPr>
      </w:pPr>
      <w:r w:rsidRPr="00D32247">
        <w:rPr>
          <w:rFonts w:eastAsia="SimSun"/>
        </w:rPr>
        <w:t>6.4.2.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D32247">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D32247" w:rsidRPr="00D32247" w:rsidRDefault="00D32247" w:rsidP="00D32247">
      <w:pPr>
        <w:rPr>
          <w:rFonts w:eastAsia="SimSun"/>
        </w:rPr>
      </w:pPr>
      <w:r w:rsidRPr="00D32247">
        <w:rPr>
          <w:rFonts w:eastAsia="SimSun"/>
        </w:rPr>
        <w:t>6.4.3. Η επιστροφή των υλικών που απορρίφθηκαν γίνεται σύμφωνα με τα προβλεπόμενα στις παρ. 2 και 3  του άρθρου 213 του ν. 4412/2016.</w:t>
      </w:r>
    </w:p>
    <w:p w:rsidR="00D32247" w:rsidRPr="00D32247" w:rsidRDefault="00D32247" w:rsidP="00D32247">
      <w:pPr>
        <w:rPr>
          <w:rFonts w:eastAsia="SimSun"/>
        </w:rPr>
      </w:pPr>
    </w:p>
    <w:p w:rsidR="00D32247" w:rsidRPr="00D32247" w:rsidRDefault="00D32247" w:rsidP="00D32247">
      <w:bookmarkStart w:id="92" w:name="_Toc520998617"/>
      <w:bookmarkStart w:id="93" w:name="_Toc108094138"/>
      <w:r w:rsidRPr="00D32247">
        <w:t>6.5</w:t>
      </w:r>
      <w:r w:rsidRPr="00D32247">
        <w:tab/>
        <w:t>Εγγυημένη λειτουργία προμήθειας</w:t>
      </w:r>
      <w:bookmarkEnd w:id="92"/>
      <w:bookmarkEnd w:id="93"/>
    </w:p>
    <w:p w:rsidR="00D32247" w:rsidRPr="00D32247" w:rsidRDefault="00D32247" w:rsidP="00D32247">
      <w:r w:rsidRPr="00D32247">
        <w:t>Ο προμηθευτής μετά το πέρας της δοκιμαστικής λειτουργίας και την οριστική παραλαβή υποχρεούται να παρέχει περίοδο εγγυημένης λειτουργίας τουλάχιστον ενός (1) έτους, τόσο για τα επιμέρους τμήματα που απαρτίζουν το προσφερόμενο σύστημα όσο και για το σύνολο του συστήματος, σύμφωνα με τις  Τεχνικές Προδιαγραφές και τα λοιπά τεύχη. </w:t>
      </w:r>
    </w:p>
    <w:p w:rsidR="00D32247" w:rsidRPr="00D32247" w:rsidRDefault="00D32247" w:rsidP="00D32247">
      <w:r w:rsidRPr="00D32247">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D32247" w:rsidRPr="00D32247" w:rsidRDefault="00D32247" w:rsidP="00D32247">
      <w:r w:rsidRPr="00D32247">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sidRPr="00D32247">
        <w:footnoteReference w:id="143"/>
      </w:r>
      <w:r w:rsidRPr="00D32247">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D32247" w:rsidRPr="00D32247" w:rsidRDefault="00D32247" w:rsidP="00D32247">
      <w:r w:rsidRPr="00D32247">
        <w:t xml:space="preserve">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w:t>
      </w:r>
      <w:r w:rsidRPr="00D32247">
        <w:lastRenderedPageBreak/>
        <w:t>κατάπτωση της εγγυήσεως καλής λειτουργίας που προβλέπεται στο άρθρο 72 του ν. 4412/2016 περί εγγυήσεων και στην παράγραφο 4.1.2 της παρούσας. Το πρωτόκολλο εγκρίνεται από το αρμόδιο αποφαινόμενο όργανο.</w:t>
      </w:r>
    </w:p>
    <w:p w:rsidR="00D32247" w:rsidRPr="00D32247" w:rsidRDefault="00D32247" w:rsidP="00D32247"/>
    <w:p w:rsidR="00D32247" w:rsidRPr="00D32247" w:rsidRDefault="00D32247" w:rsidP="00D32247">
      <w:bookmarkStart w:id="94" w:name="_Toc520214962"/>
      <w:bookmarkStart w:id="95" w:name="_Toc520998618"/>
      <w:bookmarkStart w:id="96" w:name="_Toc108094139"/>
      <w:r w:rsidRPr="00D32247">
        <w:t>6.6</w:t>
      </w:r>
      <w:r w:rsidRPr="00D32247">
        <w:tab/>
        <w:t>Αναπροσαρμογή τιμής</w:t>
      </w:r>
      <w:bookmarkEnd w:id="94"/>
      <w:bookmarkEnd w:id="95"/>
      <w:bookmarkEnd w:id="96"/>
    </w:p>
    <w:p w:rsidR="00D32247" w:rsidRPr="00D32247" w:rsidRDefault="00D32247" w:rsidP="00D32247">
      <w:r w:rsidRPr="00D32247">
        <w:t>Δεν προβλέπεται αναπροσαρμογή τιμής.</w:t>
      </w:r>
    </w:p>
    <w:p w:rsidR="00D32247" w:rsidRPr="00D32247" w:rsidRDefault="00D32247" w:rsidP="00D32247">
      <w:pPr>
        <w:rPr>
          <w:rFonts w:eastAsia="SimSun"/>
        </w:rPr>
      </w:pPr>
    </w:p>
    <w:p w:rsidR="00D32247" w:rsidRPr="00D32247" w:rsidRDefault="00D32247" w:rsidP="00D32247">
      <w:pPr>
        <w:rPr>
          <w:rFonts w:eastAsia="SimSun"/>
        </w:rPr>
      </w:pPr>
    </w:p>
    <w:p w:rsidR="00D32247" w:rsidRPr="00D32247" w:rsidRDefault="00D32247" w:rsidP="00D32247">
      <w:pPr>
        <w:rPr>
          <w:rFonts w:eastAsia="SimSun"/>
        </w:rPr>
      </w:pPr>
    </w:p>
    <w:p w:rsidR="00D32247" w:rsidRPr="00D32247" w:rsidRDefault="00D32247" w:rsidP="00D32247">
      <w:pPr>
        <w:rPr>
          <w:rFonts w:eastAsia="SimSun"/>
        </w:rPr>
      </w:pPr>
    </w:p>
    <w:p w:rsidR="00D32247" w:rsidRPr="00D32247" w:rsidRDefault="00D32247" w:rsidP="00D32247">
      <w:r w:rsidRPr="00D32247">
        <w:t xml:space="preserve">                                                                                                       Λιβαδειά , ΧΧ/ΧΧ/2023 </w:t>
      </w:r>
    </w:p>
    <w:p w:rsidR="00D32247" w:rsidRPr="00D32247" w:rsidRDefault="00D32247" w:rsidP="00D32247">
      <w:r w:rsidRPr="00D32247">
        <w:t xml:space="preserve">                               </w:t>
      </w:r>
    </w:p>
    <w:p w:rsidR="00D32247" w:rsidRPr="00D32247" w:rsidRDefault="00D32247" w:rsidP="00D32247">
      <w:r w:rsidRPr="00D32247">
        <w:t xml:space="preserve">                                                                                                      Ο  ΔΗΜΑΡΧΟΣ ΛΕΒΑΔΕΩΝ</w:t>
      </w:r>
    </w:p>
    <w:p w:rsidR="00D32247" w:rsidRPr="00D32247" w:rsidRDefault="00D32247" w:rsidP="00D32247"/>
    <w:p w:rsidR="00D32247" w:rsidRPr="00D32247" w:rsidRDefault="00D32247" w:rsidP="00D32247">
      <w:r w:rsidRPr="00D32247">
        <w:t xml:space="preserve">                                                                                                     ΙΩΑΝΝΗΣ Δ. ΤΑΓΚΑΛΕΓΚΑΣ</w:t>
      </w:r>
    </w:p>
    <w:p w:rsidR="00D32247" w:rsidRPr="00D32247" w:rsidRDefault="00D32247" w:rsidP="00D32247"/>
    <w:p w:rsidR="00D32247" w:rsidRPr="00D32247" w:rsidRDefault="00D32247" w:rsidP="00D32247"/>
    <w:p w:rsidR="00D32247" w:rsidRPr="00D32247" w:rsidRDefault="00D32247" w:rsidP="00D32247">
      <w:r w:rsidRPr="00D32247">
        <w:t xml:space="preserve">           </w:t>
      </w:r>
    </w:p>
    <w:p w:rsidR="00B64ED5" w:rsidRPr="00B100E2" w:rsidRDefault="00B64ED5" w:rsidP="00B64ED5">
      <w:pPr>
        <w:ind w:left="808"/>
        <w:jc w:val="both"/>
        <w:rPr>
          <w:rFonts w:ascii="Arial" w:hAnsi="Arial" w:cs="Arial"/>
          <w:b/>
          <w:sz w:val="22"/>
          <w:szCs w:val="22"/>
        </w:rPr>
      </w:pPr>
    </w:p>
    <w:p w:rsidR="00B64ED5" w:rsidRPr="00F17F66" w:rsidRDefault="00B64ED5" w:rsidP="000E0286">
      <w:pPr>
        <w:ind w:left="808"/>
        <w:jc w:val="both"/>
        <w:rPr>
          <w:rFonts w:ascii="Arial" w:hAnsi="Arial" w:cs="Arial"/>
          <w:b/>
          <w:sz w:val="22"/>
          <w:szCs w:val="22"/>
        </w:rPr>
      </w:pPr>
    </w:p>
    <w:p w:rsidR="00CF6E1F" w:rsidRPr="00F17F66" w:rsidRDefault="00E72990" w:rsidP="000E0286">
      <w:pPr>
        <w:ind w:left="808"/>
        <w:jc w:val="both"/>
        <w:rPr>
          <w:rFonts w:ascii="Arial" w:eastAsia="Calibri" w:hAnsi="Arial" w:cs="Arial"/>
          <w:b/>
          <w:bCs/>
          <w:sz w:val="22"/>
          <w:szCs w:val="22"/>
        </w:rPr>
      </w:pPr>
      <w:r w:rsidRPr="00F17F66">
        <w:rPr>
          <w:rFonts w:ascii="Arial" w:hAnsi="Arial" w:cs="Arial"/>
          <w:b/>
          <w:sz w:val="22"/>
          <w:szCs w:val="22"/>
        </w:rPr>
        <w:t xml:space="preserve">                  </w:t>
      </w:r>
      <w:r w:rsidR="003A3FC2" w:rsidRPr="00F17F66">
        <w:rPr>
          <w:rFonts w:ascii="Arial" w:hAnsi="Arial" w:cs="Arial"/>
          <w:b/>
          <w:sz w:val="22"/>
          <w:szCs w:val="22"/>
        </w:rPr>
        <w:t xml:space="preserve">        </w:t>
      </w:r>
      <w:r w:rsidR="00135173" w:rsidRPr="00F17F66">
        <w:rPr>
          <w:rFonts w:ascii="Arial" w:eastAsia="Calibri" w:hAnsi="Arial" w:cs="Arial"/>
          <w:b/>
          <w:bCs/>
          <w:sz w:val="22"/>
          <w:szCs w:val="22"/>
        </w:rPr>
        <w:tab/>
      </w:r>
    </w:p>
    <w:p w:rsidR="005D406C" w:rsidRPr="00F17F66" w:rsidRDefault="00CF6E1F" w:rsidP="006A6BF3">
      <w:pPr>
        <w:pStyle w:val="af9"/>
        <w:spacing w:line="276" w:lineRule="auto"/>
        <w:ind w:left="0"/>
        <w:contextualSpacing w:val="0"/>
        <w:jc w:val="both"/>
        <w:rPr>
          <w:rFonts w:ascii="Arial" w:hAnsi="Arial" w:cs="Arial"/>
          <w:b/>
          <w:sz w:val="22"/>
          <w:szCs w:val="22"/>
        </w:rPr>
      </w:pPr>
      <w:r w:rsidRPr="00F17F66">
        <w:rPr>
          <w:rFonts w:ascii="Arial" w:eastAsia="Calibri" w:hAnsi="Arial" w:cs="Arial"/>
          <w:b/>
          <w:bCs/>
          <w:sz w:val="22"/>
          <w:szCs w:val="22"/>
        </w:rPr>
        <w:t>Η</w:t>
      </w:r>
      <w:r w:rsidR="003A3FC2" w:rsidRPr="00F17F66">
        <w:rPr>
          <w:rFonts w:ascii="Arial" w:eastAsia="Calibri" w:hAnsi="Arial" w:cs="Arial"/>
          <w:b/>
          <w:bCs/>
          <w:sz w:val="22"/>
          <w:szCs w:val="22"/>
        </w:rPr>
        <w:t xml:space="preserve"> </w:t>
      </w:r>
      <w:r w:rsidR="003A3FC2" w:rsidRPr="00F17F66">
        <w:rPr>
          <w:rFonts w:ascii="Arial" w:hAnsi="Arial" w:cs="Arial"/>
          <w:b/>
          <w:sz w:val="22"/>
          <w:szCs w:val="22"/>
        </w:rPr>
        <w:t xml:space="preserve">παρούσα απόφαση πήρε αριθμό  </w:t>
      </w:r>
      <w:r w:rsidR="00F17F66">
        <w:rPr>
          <w:rFonts w:ascii="Arial" w:hAnsi="Arial" w:cs="Arial"/>
          <w:b/>
          <w:sz w:val="22"/>
          <w:szCs w:val="22"/>
        </w:rPr>
        <w:t>5</w:t>
      </w:r>
      <w:r w:rsidR="00D32247">
        <w:rPr>
          <w:rFonts w:ascii="Arial" w:hAnsi="Arial" w:cs="Arial"/>
          <w:b/>
          <w:sz w:val="22"/>
          <w:szCs w:val="22"/>
        </w:rPr>
        <w:t>9</w:t>
      </w:r>
      <w:r w:rsidR="00590D93" w:rsidRPr="00F17F66">
        <w:rPr>
          <w:rFonts w:ascii="Arial" w:hAnsi="Arial" w:cs="Arial"/>
          <w:b/>
          <w:sz w:val="22"/>
          <w:szCs w:val="22"/>
        </w:rPr>
        <w:t>/202</w:t>
      </w:r>
      <w:r w:rsidR="00F277FB" w:rsidRPr="00F17F66">
        <w:rPr>
          <w:rFonts w:ascii="Arial" w:hAnsi="Arial" w:cs="Arial"/>
          <w:b/>
          <w:sz w:val="22"/>
          <w:szCs w:val="22"/>
        </w:rPr>
        <w:t>3</w:t>
      </w:r>
      <w:r w:rsidR="003A3FC2" w:rsidRPr="00F17F66">
        <w:rPr>
          <w:rFonts w:ascii="Arial" w:hAnsi="Arial" w:cs="Arial"/>
          <w:b/>
          <w:sz w:val="22"/>
          <w:szCs w:val="22"/>
        </w:rPr>
        <w:t xml:space="preserve">.     </w:t>
      </w:r>
    </w:p>
    <w:p w:rsidR="00B64ED5" w:rsidRPr="00F17F66" w:rsidRDefault="00B64ED5" w:rsidP="006A6BF3">
      <w:pPr>
        <w:pStyle w:val="af9"/>
        <w:spacing w:line="276" w:lineRule="auto"/>
        <w:ind w:left="0"/>
        <w:contextualSpacing w:val="0"/>
        <w:jc w:val="both"/>
        <w:rPr>
          <w:rFonts w:ascii="Arial" w:hAnsi="Arial" w:cs="Arial"/>
          <w:b/>
          <w:sz w:val="22"/>
          <w:szCs w:val="22"/>
        </w:rPr>
      </w:pPr>
    </w:p>
    <w:p w:rsidR="00EB12D0" w:rsidRDefault="00EB12D0" w:rsidP="00EB12D0">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 ΤΑ ΜΕΛΗ                                                                                    Λιβαδειά     </w:t>
      </w:r>
      <w:r w:rsidR="00425D2D">
        <w:rPr>
          <w:rFonts w:ascii="Arial" w:hAnsi="Arial" w:cs="Arial"/>
          <w:sz w:val="22"/>
          <w:szCs w:val="22"/>
        </w:rPr>
        <w:t>1</w:t>
      </w:r>
      <w:r w:rsidR="00D32247">
        <w:rPr>
          <w:rFonts w:ascii="Arial" w:hAnsi="Arial" w:cs="Arial"/>
          <w:sz w:val="22"/>
          <w:szCs w:val="22"/>
        </w:rPr>
        <w:t>8</w:t>
      </w:r>
      <w:r>
        <w:rPr>
          <w:rFonts w:ascii="Arial" w:hAnsi="Arial" w:cs="Arial"/>
          <w:sz w:val="22"/>
          <w:szCs w:val="22"/>
        </w:rPr>
        <w:t>-04-2023</w:t>
      </w:r>
      <w:r>
        <w:rPr>
          <w:rFonts w:ascii="Arial" w:eastAsia="Verdana" w:hAnsi="Arial" w:cs="Arial"/>
          <w:kern w:val="2"/>
          <w:sz w:val="22"/>
          <w:szCs w:val="22"/>
          <w:lang w:bidi="hi-IN"/>
        </w:rPr>
        <w:t xml:space="preserve">  </w:t>
      </w:r>
    </w:p>
    <w:p w:rsidR="00EB12D0" w:rsidRDefault="00EB12D0" w:rsidP="00EB12D0">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EB12D0" w:rsidRDefault="00EB12D0" w:rsidP="00EB12D0">
      <w:pPr>
        <w:tabs>
          <w:tab w:val="left" w:pos="7485"/>
        </w:tabs>
        <w:rPr>
          <w:rFonts w:ascii="Arial" w:hAnsi="Arial" w:cs="Arial"/>
          <w:sz w:val="22"/>
          <w:szCs w:val="22"/>
        </w:rPr>
      </w:pPr>
      <w:r>
        <w:rPr>
          <w:rFonts w:ascii="Arial" w:hAnsi="Arial" w:cs="Arial"/>
          <w:sz w:val="22"/>
          <w:szCs w:val="22"/>
        </w:rPr>
        <w:t>1.Μητάς Αλέξανδρος                                                                 ΙΩΑΝΝΗΣ Δ. ΤΑΓΚΑΛΕΓΚΑΣ</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2.Καλογρηάς Αθανάσιος                                                            </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3.Σαγιάννης Μιχαήλ                                                                        </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4.Μερτζάνης  Κωνσταντίνος                                                       ΔΗΜΑΡΧΟΣ ΛΕΒΑΔΕΩΝ</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5.Μπράλιος Νικόλαος </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 </w:t>
      </w:r>
    </w:p>
    <w:p w:rsidR="002925BF" w:rsidRPr="00F17F66" w:rsidRDefault="002925BF" w:rsidP="00EB12D0">
      <w:pPr>
        <w:tabs>
          <w:tab w:val="center" w:pos="1080"/>
          <w:tab w:val="left" w:pos="6120"/>
          <w:tab w:val="center" w:pos="8460"/>
        </w:tabs>
        <w:jc w:val="both"/>
        <w:rPr>
          <w:rFonts w:ascii="Arial" w:hAnsi="Arial" w:cs="Arial"/>
          <w:sz w:val="22"/>
          <w:szCs w:val="22"/>
        </w:rPr>
      </w:pPr>
    </w:p>
    <w:sectPr w:rsidR="002925BF" w:rsidRPr="00F17F66" w:rsidSect="0019405B">
      <w:headerReference w:type="default" r:id="rId25"/>
      <w:headerReference w:type="first" r:id="rId26"/>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1B" w:rsidRDefault="004F571B">
      <w:r>
        <w:separator/>
      </w:r>
    </w:p>
  </w:endnote>
  <w:endnote w:type="continuationSeparator" w:id="0">
    <w:p w:rsidR="004F571B" w:rsidRDefault="004F5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MT">
    <w:altName w:val="Arial"/>
    <w:panose1 w:val="00000000000000000000"/>
    <w:charset w:val="A1"/>
    <w:family w:val="auto"/>
    <w:notTrueType/>
    <w:pitch w:val="default"/>
    <w:sig w:usb0="00000083" w:usb1="00000000" w:usb2="00000000" w:usb3="00000000" w:csb0="00000009"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1B" w:rsidRDefault="004F571B">
      <w:r>
        <w:separator/>
      </w:r>
    </w:p>
  </w:footnote>
  <w:footnote w:type="continuationSeparator" w:id="0">
    <w:p w:rsidR="004F571B" w:rsidRDefault="004F571B">
      <w:r>
        <w:continuationSeparator/>
      </w:r>
    </w:p>
  </w:footnote>
  <w:footnote w:id="1">
    <w:p w:rsidR="005B0B46" w:rsidRPr="00D32247" w:rsidRDefault="005B0B46" w:rsidP="00D32247">
      <w:r w:rsidRPr="00D32247">
        <w:footnoteRef/>
      </w:r>
      <w:r w:rsidRPr="00D32247">
        <w:t xml:space="preserve"> </w:t>
      </w:r>
      <w:r w:rsidRPr="00D32247">
        <w:tab/>
        <w:t xml:space="preserve">Άρθρο 53 παρ. 2 </w:t>
      </w:r>
      <w:proofErr w:type="spellStart"/>
      <w:r w:rsidRPr="00D32247">
        <w:t>περ</w:t>
      </w:r>
      <w:proofErr w:type="spellEnd"/>
      <w:r w:rsidRPr="00D32247">
        <w:t>. α του ν. 4412/2016</w:t>
      </w:r>
    </w:p>
  </w:footnote>
  <w:footnote w:id="2">
    <w:p w:rsidR="005B0B46" w:rsidRPr="00D32247" w:rsidRDefault="005B0B46" w:rsidP="00D32247">
      <w:r w:rsidRPr="00D32247">
        <w:rPr>
          <w:rFonts w:eastAsia="Wingdings"/>
        </w:rPr>
        <w:footnoteRef/>
      </w:r>
      <w:r w:rsidRPr="00D32247">
        <w:tab/>
        <w:t>Μόνο για συμβάσεις άνω των ορίων</w:t>
      </w:r>
    </w:p>
  </w:footnote>
  <w:footnote w:id="3">
    <w:p w:rsidR="005B0B46" w:rsidRPr="00D32247" w:rsidRDefault="005B0B46" w:rsidP="00D32247">
      <w:r w:rsidRPr="00D32247">
        <w:rPr>
          <w:rFonts w:eastAsia="Wingdings"/>
        </w:rPr>
        <w:footnoteRef/>
      </w:r>
      <w:r w:rsidRPr="00D32247">
        <w:tab/>
        <w:t xml:space="preserve">Μόνο για συμβάσεις άνω των ορίων </w:t>
      </w:r>
    </w:p>
  </w:footnote>
  <w:footnote w:id="4">
    <w:p w:rsidR="005B0B46" w:rsidRPr="00D32247" w:rsidRDefault="005B0B46" w:rsidP="00D32247">
      <w:r w:rsidRPr="00D32247">
        <w:rPr>
          <w:rFonts w:eastAsia="Wingdings"/>
        </w:rPr>
        <w:footnoteRef/>
      </w:r>
      <w:r w:rsidRPr="00D32247">
        <w:tab/>
        <w:t>Συμπληρώνεται το όνομα, η διεύθυνση, ο αριθμός τηλεφώνου, η διεύθυνση ηλεκτρονικού ταχυδρομείου (e-</w:t>
      </w:r>
      <w:proofErr w:type="spellStart"/>
      <w:r w:rsidRPr="00D32247">
        <w:t>mai</w:t>
      </w:r>
      <w:proofErr w:type="spellEnd"/>
      <w:r w:rsidRPr="00D32247">
        <w:t xml:space="preserve">l) της υπηρεσίας που διενεργεί τον διαγωνισμό, καθώς και ο αρμόδιος υπάλληλος της υπηρεσίας αυτής, άρθρο 53 παρ. 2 </w:t>
      </w:r>
      <w:proofErr w:type="spellStart"/>
      <w:r w:rsidRPr="00D32247">
        <w:t>περ</w:t>
      </w:r>
      <w:proofErr w:type="spellEnd"/>
      <w:r w:rsidRPr="00D32247">
        <w:t xml:space="preserve">. γ του ν. 4412/2016  </w:t>
      </w:r>
    </w:p>
  </w:footnote>
  <w:footnote w:id="5">
    <w:p w:rsidR="005B0B46" w:rsidRPr="00D32247" w:rsidRDefault="005B0B46" w:rsidP="00D32247">
      <w:r w:rsidRPr="00D32247">
        <w:rPr>
          <w:rFonts w:eastAsia="Wingdings"/>
        </w:rPr>
        <w:footnoteRef/>
      </w:r>
      <w:r w:rsidRPr="00D32247">
        <w:tab/>
        <w:t xml:space="preserve">Εφόσον υπάρχει και για συμβάσεις άνω των ορίων  </w:t>
      </w:r>
    </w:p>
  </w:footnote>
  <w:footnote w:id="6">
    <w:p w:rsidR="005B0B46" w:rsidRPr="00D32247" w:rsidRDefault="005B0B46" w:rsidP="00D32247">
      <w:r w:rsidRPr="00D32247">
        <w:rPr>
          <w:rFonts w:eastAsia="Wingdings"/>
        </w:rPr>
        <w:footnoteRef/>
      </w:r>
      <w:r w:rsidRPr="00D32247">
        <w:tab/>
        <w:t>Επιλέγεται η κύρια δραστηριότητα της Α.Α., βλέπε και Παράρτημα ΙΙ (Προκήρυξη Σύμβασης), Τμήμα Ι, παρ  1.5, Εκτελεστικού Κανονισμού (ΕΕ) 2015/1986 της Επιτροπής (L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7">
    <w:p w:rsidR="005B0B46" w:rsidRPr="00D32247" w:rsidRDefault="005B0B46" w:rsidP="00D32247">
      <w:r w:rsidRPr="00D32247">
        <w:rPr>
          <w:rFonts w:eastAsia="Wingdings"/>
        </w:rPr>
        <w:footnoteRef/>
      </w:r>
      <w:r w:rsidRPr="00D32247">
        <w:tab/>
        <w:t xml:space="preserve">Επιλέγονται και συμπληρώνονται τα αντίστοιχα εδάφια, </w:t>
      </w:r>
      <w:proofErr w:type="spellStart"/>
      <w:r w:rsidRPr="00D32247">
        <w:t>πρβλ</w:t>
      </w:r>
      <w:proofErr w:type="spellEnd"/>
      <w:r w:rsidRPr="00D32247">
        <w:t xml:space="preserve"> άρθρα 22 και 67 ν. 4412/16</w:t>
      </w:r>
    </w:p>
  </w:footnote>
  <w:footnote w:id="8">
    <w:p w:rsidR="005B0B46" w:rsidRPr="00D32247" w:rsidRDefault="005B0B46" w:rsidP="00D32247">
      <w:r w:rsidRPr="00D32247">
        <w:rPr>
          <w:rFonts w:eastAsia="Wingdings"/>
        </w:rPr>
        <w:footnoteRef/>
      </w:r>
      <w:r w:rsidRPr="00D32247">
        <w:tab/>
        <w:t>Εάν η πρόσβαση στα έγγραφα είναι περιορισμένη, αντί για τα αναφερόμενα στο α) συμπληρώνεται:  «Η πρόσβαση στα έγγραφα είναι περιορισμένη. Περαιτέρω πληροφορίες παρέχονται στην διεύθυνση (URL) : ………………………..»</w:t>
      </w:r>
    </w:p>
  </w:footnote>
  <w:footnote w:id="9">
    <w:p w:rsidR="005B0B46" w:rsidRPr="00D32247" w:rsidRDefault="005B0B46" w:rsidP="00D32247">
      <w:r w:rsidRPr="00D32247">
        <w:rPr>
          <w:rFonts w:eastAsia="Wingdings"/>
        </w:rPr>
        <w:footnoteRef/>
      </w:r>
      <w:r w:rsidRPr="00D32247">
        <w:tab/>
        <w:t>Το περιεχόμενο της παραγράφου διαμορφώνεται ανάλογα με την πηγή χρηματοδότησης (</w:t>
      </w:r>
      <w:proofErr w:type="spellStart"/>
      <w:r w:rsidRPr="00D32247">
        <w:t>Πρβλ</w:t>
      </w:r>
      <w:proofErr w:type="spellEnd"/>
      <w:r w:rsidRPr="00D32247">
        <w:t xml:space="preserve">. παρ. 2 </w:t>
      </w:r>
      <w:proofErr w:type="spellStart"/>
      <w:r w:rsidRPr="00D32247">
        <w:t>περ</w:t>
      </w:r>
      <w:proofErr w:type="spellEnd"/>
      <w:r w:rsidRPr="00D32247">
        <w:t>. ζ  του άρθρου 53 του ν.4412/16 όπως διαμορφώθηκε με το άρθρο 16 του ν. 4782/21)</w:t>
      </w:r>
    </w:p>
  </w:footnote>
  <w:footnote w:id="10">
    <w:p w:rsidR="005B0B46" w:rsidRPr="00D32247" w:rsidRDefault="005B0B46" w:rsidP="00D32247">
      <w:r w:rsidRPr="00D32247">
        <w:rPr>
          <w:rFonts w:eastAsia="Wingdings"/>
        </w:rPr>
        <w:footnoteRef/>
      </w:r>
      <w:r w:rsidRPr="00D32247">
        <w:rPr>
          <w:rFonts w:eastAsia="Calibri"/>
        </w:rPr>
        <w:tab/>
      </w:r>
      <w:r w:rsidRPr="00D32247">
        <w:t>Αναφέρονται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1">
    <w:p w:rsidR="005B0B46" w:rsidRPr="00D32247" w:rsidRDefault="005B0B46" w:rsidP="00D32247">
      <w:r w:rsidRPr="00D32247">
        <w:footnoteRef/>
      </w:r>
      <w:r w:rsidRPr="00D32247">
        <w:t xml:space="preserve"> </w:t>
      </w:r>
      <w:r w:rsidRPr="00D32247">
        <w:tab/>
        <w:t xml:space="preserve">Σύμφωνα με το άρθρο 4 παρ. 4 του </w:t>
      </w:r>
      <w:proofErr w:type="spellStart"/>
      <w:r w:rsidRPr="00D32247">
        <w:t>π.δ</w:t>
      </w:r>
      <w:proofErr w:type="spellEnd"/>
      <w:r w:rsidRPr="00D32247">
        <w:t xml:space="preserve"> 80/2016 “Ανάληψη υποχρεώσεων από τους </w:t>
      </w:r>
      <w:proofErr w:type="spellStart"/>
      <w:r w:rsidRPr="00D32247">
        <w:t>διατάκτες</w:t>
      </w:r>
      <w:proofErr w:type="spellEnd"/>
      <w:r w:rsidRPr="00D32247">
        <w:t xml:space="preserve">” ( Α΄ 145) «4. Οι διακηρύξεις, οι αποφάσεις ανάθεσης και οι συμβάσεις που συνάπτονται για λογαριασμό όλων των φορέων Γενικής Κυβέρνησης αναφέρουν απαραίτητα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καταχώρησής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συμπεριλαμβανομένου του τρέχοντος. Σε περίπτωση που η προκαλούμενη δαπάνη πρόκειται να βαρύνει αποκλειστικά και μόνον το επόμενο ή τα επόμενα οικονομικά έτη, οι διακηρύξεις, οι αποφάσεις ανάθεσης και οι συμβάσεις της παρούσας φέρουν μόνο τον αριθμό της πολυετούς έγκρισης, κατά τα οριζόμενα στις διατάξεις της παρ. 4 του άρθρου 2» Επίσης, σύμφωνα με το άρθρο 12 παρ. 2 γ) του ίδιου </w:t>
      </w:r>
      <w:proofErr w:type="spellStart"/>
      <w:r w:rsidRPr="00D32247">
        <w:t>π.δ</w:t>
      </w:r>
      <w:proofErr w:type="spellEnd"/>
      <w:r w:rsidRPr="00D32247">
        <w:t xml:space="preserve"> : “ «γ)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η έκδοση της απόφασης ανάληψης υποχρέωσης της παρ. 2 του άρθρου 2, υπό την επιφύλαξη της παρ. 4 του άρθρου 2 και της παρ. 4 του άρθρου 4»</w:t>
      </w:r>
    </w:p>
  </w:footnote>
  <w:footnote w:id="12">
    <w:p w:rsidR="005B0B46" w:rsidRPr="00D32247" w:rsidRDefault="005B0B46" w:rsidP="00D32247">
      <w:r w:rsidRPr="00D32247">
        <w:rPr>
          <w:rFonts w:eastAsia="Wingdings"/>
        </w:rPr>
        <w:footnoteRef/>
      </w:r>
      <w:r w:rsidRPr="00D32247">
        <w:tab/>
        <w:t xml:space="preserve">Άρθρο 86 ν.4412/2016. </w:t>
      </w:r>
    </w:p>
  </w:footnote>
  <w:footnote w:id="13">
    <w:p w:rsidR="005B0B46" w:rsidRPr="00D32247" w:rsidRDefault="005B0B46" w:rsidP="00D32247">
      <w:r w:rsidRPr="00D32247">
        <w:rPr>
          <w:rFonts w:eastAsia="Wingdings"/>
        </w:rPr>
        <w:footnoteRef/>
      </w:r>
      <w:r w:rsidRPr="00D32247">
        <w:tab/>
        <w:t xml:space="preserve">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w:t>
      </w:r>
      <w:proofErr w:type="spellStart"/>
      <w:r w:rsidRPr="00D32247">
        <w:t>επικαιροποίηση</w:t>
      </w:r>
      <w:proofErr w:type="spellEnd"/>
      <w:r w:rsidRPr="00D32247">
        <w:t xml:space="preserve"> του παρόντος υποδείγματος από την Ε.Α.ΔΗ.ΣΥ. οι αναθέτουσες αρχές έχουν την ευθύνη αντίστοιχης προσαρμογής των εν λόγω όρων.</w:t>
      </w:r>
    </w:p>
  </w:footnote>
  <w:footnote w:id="14">
    <w:p w:rsidR="005B0B46" w:rsidRPr="00D32247" w:rsidRDefault="005B0B46" w:rsidP="00D32247">
      <w:r w:rsidRPr="00D32247">
        <w:rPr>
          <w:rFonts w:eastAsia="Wingdings"/>
        </w:rPr>
        <w:footnoteRef/>
      </w:r>
      <w:r w:rsidRPr="00D32247">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5">
    <w:p w:rsidR="005B0B46" w:rsidRPr="00D32247" w:rsidRDefault="005B0B46" w:rsidP="00D32247">
      <w:r w:rsidRPr="00D32247">
        <w:rPr>
          <w:rFonts w:eastAsia="Wingdings"/>
        </w:rPr>
        <w:footnoteRef/>
      </w:r>
      <w:r w:rsidRPr="00D32247">
        <w:tab/>
      </w:r>
      <w:bookmarkStart w:id="16" w:name="_Hlk74738471"/>
      <w:r w:rsidRPr="00D32247">
        <w:t xml:space="preserve">Για δημόσιες συμβάσεις άνω των ορίων, ή για τις συμβάσεις κάτω των ορίων, εφόσον η αναθέτουσα αρχή το επιλέξει. </w:t>
      </w:r>
      <w:proofErr w:type="spellStart"/>
      <w:r w:rsidRPr="00D32247">
        <w:t>Πρβλ</w:t>
      </w:r>
      <w:proofErr w:type="spellEnd"/>
      <w:r w:rsidRPr="00D32247">
        <w:t>. άρθρο 65, παρ.6 του ν.4412/2016.</w:t>
      </w:r>
      <w:bookmarkEnd w:id="16"/>
      <w:r w:rsidRPr="00D32247">
        <w:t xml:space="preserve"> </w:t>
      </w:r>
    </w:p>
  </w:footnote>
  <w:footnote w:id="16">
    <w:p w:rsidR="005B0B46" w:rsidRPr="00D32247" w:rsidRDefault="005B0B46" w:rsidP="00D32247">
      <w:r w:rsidRPr="00D32247">
        <w:rPr>
          <w:rFonts w:eastAsia="Wingdings"/>
        </w:rPr>
        <w:footnoteRef/>
      </w:r>
      <w:r w:rsidRPr="00D32247">
        <w:tab/>
        <w:t xml:space="preserve">Άρθρο 65 παρ. 1 του ν. 4412/2016 : Η προκήρυξη περιλαμβάνει τις πληροφορίες που προβλέπονται στο Παράρτημα V του Προσαρτήματος Α΄ υπό τη μορφή τυποποιημένου εντύπου (έντυπο 2 Παραρτήματος ΙΙ : Προκήρυξη Σύμβασης του Εκτελεστικού Κανονισμού (ΕΕ) 2015/1986 της Επιτροπής (L296/1) </w:t>
      </w:r>
    </w:p>
  </w:footnote>
  <w:footnote w:id="17">
    <w:p w:rsidR="005B0B46" w:rsidRPr="00D32247" w:rsidRDefault="005B0B46" w:rsidP="00D32247"/>
  </w:footnote>
  <w:footnote w:id="18">
    <w:p w:rsidR="005B0B46" w:rsidRPr="00D32247" w:rsidRDefault="005B0B46" w:rsidP="00D32247">
      <w:r w:rsidRPr="00D32247">
        <w:footnoteRef/>
      </w:r>
      <w:r w:rsidRPr="00D32247">
        <w:tab/>
        <w:t>Από 01.06.2021 καταργήθηκε η υποχρέωση σύνταξης προκήρυξης για συμβάσεις κάτω των ορίων (</w:t>
      </w:r>
      <w:proofErr w:type="spellStart"/>
      <w:r w:rsidRPr="00D32247">
        <w:t>Πρβλ</w:t>
      </w:r>
      <w:proofErr w:type="spellEnd"/>
      <w:r w:rsidRPr="00D32247">
        <w:t xml:space="preserve"> άρθρο 141 του ν.4782/2021, παρ. 1 περ.4)</w:t>
      </w:r>
    </w:p>
  </w:footnote>
  <w:footnote w:id="19">
    <w:p w:rsidR="005B0B46" w:rsidRPr="00D32247" w:rsidRDefault="005B0B46" w:rsidP="00D32247">
      <w:r w:rsidRPr="00D32247">
        <w:rPr>
          <w:rFonts w:eastAsia="Wingdings"/>
        </w:rPr>
        <w:footnoteRef/>
      </w:r>
      <w:r w:rsidRPr="00D32247">
        <w:tab/>
        <w:t xml:space="preserve">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31/12/2023, οπότε και καταργείται. </w:t>
      </w:r>
      <w:proofErr w:type="spellStart"/>
      <w:r w:rsidRPr="00D32247">
        <w:t>Πρβλ</w:t>
      </w:r>
      <w:proofErr w:type="spellEnd"/>
      <w:r w:rsidRPr="00D32247">
        <w:t xml:space="preserve">. άρθρο 377§1 </w:t>
      </w:r>
      <w:proofErr w:type="spellStart"/>
      <w:r w:rsidRPr="00D32247">
        <w:t>περίπτ</w:t>
      </w:r>
      <w:proofErr w:type="spellEnd"/>
      <w:r w:rsidRPr="00D32247">
        <w:t xml:space="preserve"> (59 και 82) και άρθρο 379 §12 ν. 4412/2016, όπως τροποποιήθηκε με το άρθρο 245 του ν. 4782/2021.</w:t>
      </w:r>
    </w:p>
  </w:footnote>
  <w:footnote w:id="20">
    <w:p w:rsidR="005B0B46" w:rsidRPr="00D32247" w:rsidRDefault="005B0B46" w:rsidP="00D32247">
      <w:r w:rsidRPr="00D32247">
        <w:rPr>
          <w:rFonts w:eastAsia="Wingdings"/>
        </w:rPr>
        <w:footnoteRef/>
      </w:r>
      <w:r w:rsidRPr="00D32247">
        <w:tab/>
        <w:t xml:space="preserve">Η υποχρέωση δημοσίευσης σε νομαρχιακές (νυν "περιφερειακές" κατά το άρ.16 του ν.4487/2017) και τοπικές εφημερίδες του ν.3548/2007, συνεχίζει να υφίσταται μέχρι και την 31/12/2023, οπότε και καταργείται, βλέπε άρθρο 377§1 </w:t>
      </w:r>
      <w:proofErr w:type="spellStart"/>
      <w:r w:rsidRPr="00D32247">
        <w:t>περίπτ</w:t>
      </w:r>
      <w:proofErr w:type="spellEnd"/>
      <w:r w:rsidRPr="00D32247">
        <w:t xml:space="preserve"> (35) και άρθρο 379 §12 ν. 4412/2016, όπως τροποποιήθηκε με το άρθρο 245 του ν. 4782/2021.</w:t>
      </w:r>
    </w:p>
  </w:footnote>
  <w:footnote w:id="21">
    <w:p w:rsidR="005B0B46" w:rsidRPr="00D32247" w:rsidRDefault="005B0B46" w:rsidP="00D32247">
      <w:r w:rsidRPr="00D32247">
        <w:rPr>
          <w:rFonts w:eastAsia="Wingdings"/>
        </w:rPr>
        <w:footnoteRef/>
      </w:r>
      <w:r w:rsidRPr="00D32247">
        <w:tab/>
        <w:t xml:space="preserve"> Για τις δημοσιεύσεις περιλήψεων διαγωνισμών στον εθνικό τύπο, βλ.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p>
  </w:footnote>
  <w:footnote w:id="22">
    <w:p w:rsidR="005B0B46" w:rsidRPr="00D32247" w:rsidRDefault="005B0B46" w:rsidP="00D32247">
      <w:r w:rsidRPr="00D32247">
        <w:rPr>
          <w:rFonts w:eastAsia="Wingdings"/>
        </w:rPr>
        <w:footnoteRef/>
      </w:r>
      <w:r w:rsidRPr="00D32247">
        <w:tab/>
        <w:t>Άρθρο 18 παρ. 2 του ν. 4412/2016.</w:t>
      </w:r>
    </w:p>
  </w:footnote>
  <w:footnote w:id="23">
    <w:p w:rsidR="005B0B46" w:rsidRPr="00D32247" w:rsidRDefault="005B0B46" w:rsidP="00D32247">
      <w:r w:rsidRPr="00D32247">
        <w:rPr>
          <w:rFonts w:eastAsia="Wingdings"/>
        </w:rPr>
        <w:footnoteRef/>
      </w:r>
      <w:r w:rsidRPr="00D32247">
        <w:tab/>
        <w:t xml:space="preserve">Ως «έγγραφο διαδικασίας σύναψης της σύμβασης» ή «έγγραφο της σύμβασης», κατά την έννοια της </w:t>
      </w:r>
      <w:proofErr w:type="spellStart"/>
      <w:r w:rsidRPr="00D32247">
        <w:t>περ</w:t>
      </w:r>
      <w:proofErr w:type="spellEnd"/>
      <w:r w:rsidRPr="00D32247">
        <w:t>.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4">
    <w:p w:rsidR="005B0B46" w:rsidRPr="00D32247" w:rsidRDefault="005B0B46" w:rsidP="00D32247">
      <w:r w:rsidRPr="00D32247">
        <w:rPr>
          <w:rFonts w:eastAsia="Wingdings"/>
        </w:rPr>
        <w:footnoteRef/>
      </w:r>
      <w:r w:rsidRPr="00D32247">
        <w:tab/>
        <w:t xml:space="preserve">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w:t>
      </w:r>
      <w:proofErr w:type="spellStart"/>
      <w:r w:rsidRPr="00D32247">
        <w:t>όλω</w:t>
      </w:r>
      <w:proofErr w:type="spellEnd"/>
      <w:r w:rsidRPr="00D32247">
        <w:t xml:space="preserve">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w:t>
      </w:r>
      <w:proofErr w:type="spellStart"/>
      <w:r w:rsidRPr="00D32247">
        <w:t>μορφότυποι</w:t>
      </w:r>
      <w:proofErr w:type="spellEnd"/>
      <w:r w:rsidRPr="00D32247">
        <w:t xml:space="preserve"> περιγράφονται στο σημείο αυτό ταυτόχρονα με τον τρόπο πρόσβασης των ενδιαφερομένων.</w:t>
      </w:r>
    </w:p>
  </w:footnote>
  <w:footnote w:id="25">
    <w:p w:rsidR="005B0B46" w:rsidRPr="00D32247" w:rsidRDefault="005B0B46" w:rsidP="00D32247">
      <w:r w:rsidRPr="00D32247">
        <w:rPr>
          <w:rFonts w:eastAsia="Wingdings"/>
        </w:rPr>
        <w:footnoteRef/>
      </w:r>
      <w:r w:rsidRPr="00D32247">
        <w:tab/>
        <w:t xml:space="preserve">Άρθρο 60 παρ. 3 &amp; 67 παρ. 2  του ν. 4412/2016 </w:t>
      </w:r>
    </w:p>
  </w:footnote>
  <w:footnote w:id="26">
    <w:p w:rsidR="005B0B46" w:rsidRPr="00D32247" w:rsidRDefault="005B0B46" w:rsidP="00D32247">
      <w:r w:rsidRPr="00D32247">
        <w:footnoteRef/>
      </w:r>
      <w:r w:rsidRPr="00D32247">
        <w:t xml:space="preserve"> </w:t>
      </w:r>
      <w:r w:rsidRPr="00D32247">
        <w:tab/>
      </w:r>
      <w:proofErr w:type="spellStart"/>
      <w:r w:rsidRPr="00D32247">
        <w:t>Πρβλ</w:t>
      </w:r>
      <w:proofErr w:type="spellEnd"/>
      <w:r w:rsidRPr="00D32247">
        <w:t xml:space="preserve"> οδηγίες για τη χρήση του τυποποιημένου εντύπου 14 «Διορθωτικό» στην ιστοσελίδα του </w:t>
      </w:r>
      <w:proofErr w:type="spellStart"/>
      <w:r w:rsidRPr="00D32247">
        <w:t>simap</w:t>
      </w:r>
      <w:proofErr w:type="spellEnd"/>
      <w:r w:rsidRPr="00D32247">
        <w:t xml:space="preserve"> https://simap.ted.europa.eu/documents/10184/166101/Instructions+for+the+use+of+F14_EL.pdf/0bdd2252-323d-44d1-97d5-0babe74629f4</w:t>
      </w:r>
    </w:p>
  </w:footnote>
  <w:footnote w:id="27">
    <w:p w:rsidR="005B0B46" w:rsidRPr="00D32247" w:rsidRDefault="005B0B46" w:rsidP="00D32247">
      <w:r w:rsidRPr="00D32247">
        <w:footnoteRef/>
      </w:r>
      <w:r w:rsidRPr="00D32247">
        <w:tab/>
      </w:r>
      <w:proofErr w:type="spellStart"/>
      <w:r w:rsidRPr="00D32247">
        <w:t>Πρβλ</w:t>
      </w:r>
      <w:proofErr w:type="spellEnd"/>
      <w:r w:rsidRPr="00D32247">
        <w:t xml:space="preserve"> έγγραφο ΕΑΑΔΗΣΥ με </w:t>
      </w:r>
      <w:proofErr w:type="spellStart"/>
      <w:r w:rsidRPr="00D32247">
        <w:t>α.π</w:t>
      </w:r>
      <w:proofErr w:type="spellEnd"/>
      <w:r w:rsidRPr="00D32247">
        <w:t>.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28">
    <w:p w:rsidR="005B0B46" w:rsidRPr="00D32247" w:rsidRDefault="005B0B46" w:rsidP="00D32247">
      <w:r w:rsidRPr="00D32247">
        <w:footnoteRef/>
      </w:r>
      <w:r w:rsidRPr="00D32247">
        <w:t xml:space="preserve"> </w:t>
      </w:r>
      <w:r w:rsidRPr="00D32247">
        <w:tab/>
        <w:t>Άρθρο 80 παρ. 10 ν. 4412/2016</w:t>
      </w:r>
    </w:p>
  </w:footnote>
  <w:footnote w:id="29">
    <w:p w:rsidR="005B0B46" w:rsidRPr="00D32247" w:rsidRDefault="005B0B46" w:rsidP="00D32247">
      <w:r w:rsidRPr="00D32247">
        <w:rPr>
          <w:rFonts w:eastAsia="Wingdings"/>
        </w:rPr>
        <w:footnoteRef/>
      </w:r>
      <w:r w:rsidRPr="00D32247">
        <w:tab/>
        <w:t>Άρθρο 92, παρ.4 του ν. 4412/2016</w:t>
      </w:r>
    </w:p>
  </w:footnote>
  <w:footnote w:id="30">
    <w:p w:rsidR="005B0B46" w:rsidRPr="00D32247" w:rsidRDefault="005B0B46" w:rsidP="00D32247">
      <w:r w:rsidRPr="00D32247">
        <w:rPr>
          <w:rFonts w:eastAsia="Wingdings"/>
        </w:rPr>
        <w:footnoteRef/>
      </w:r>
      <w:r w:rsidRPr="00D32247">
        <w:tab/>
        <w:t xml:space="preserve">Με την επιφύλαξη της εν </w:t>
      </w:r>
      <w:proofErr w:type="spellStart"/>
      <w:r w:rsidRPr="00D32247">
        <w:t>όλω</w:t>
      </w:r>
      <w:proofErr w:type="spellEnd"/>
      <w:r w:rsidRPr="00D32247">
        <w:t xml:space="preserve"> ή εν μέρει σύνταξης των εγγράφων σε άλλη γλώσσα</w:t>
      </w:r>
    </w:p>
  </w:footnote>
  <w:footnote w:id="31">
    <w:p w:rsidR="005B0B46" w:rsidRPr="00D32247" w:rsidRDefault="005B0B46" w:rsidP="00D32247">
      <w:r w:rsidRPr="00D32247">
        <w:footnoteRef/>
      </w:r>
      <w:r w:rsidRPr="00D32247">
        <w:tab/>
        <w:t xml:space="preserve">Άρθρο 72 ν. 4412/2 016 </w:t>
      </w:r>
    </w:p>
  </w:footnote>
  <w:footnote w:id="32">
    <w:p w:rsidR="005B0B46" w:rsidRPr="00D32247" w:rsidRDefault="005B0B46" w:rsidP="00D32247">
      <w:r w:rsidRPr="00D32247">
        <w:rPr>
          <w:rFonts w:eastAsia="Wingdings"/>
        </w:rPr>
        <w:footnoteRef/>
      </w:r>
      <w:r w:rsidRPr="00D32247">
        <w:tab/>
      </w:r>
      <w:proofErr w:type="spellStart"/>
      <w:r w:rsidRPr="00D32247">
        <w:t>Πρβλ</w:t>
      </w:r>
      <w:proofErr w:type="spellEnd"/>
      <w:r w:rsidRPr="00D32247">
        <w:t>.  άρθρο 120 ν.4512/2018 (ΦΕΚ Α΄ 5/17.1.2017), καθώς και  άρθρο 15 παρ.1 ν.4541/2018  (ΦΕΚ Α΄ 93/31.5.2018),</w:t>
      </w:r>
    </w:p>
  </w:footnote>
  <w:footnote w:id="33">
    <w:p w:rsidR="005B0B46" w:rsidRPr="00D32247" w:rsidRDefault="005B0B46" w:rsidP="00D32247">
      <w:r w:rsidRPr="00D32247">
        <w:footnoteRef/>
      </w:r>
      <w:r w:rsidRPr="00D32247">
        <w:tab/>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D32247">
        <w:t>εγγυοδοτική</w:t>
      </w:r>
      <w:proofErr w:type="spellEnd"/>
      <w:r w:rsidRPr="00D32247">
        <w:t xml:space="preserve"> παρακαταθήκη) συστήνονται σύμφωνα με την ειδική νομοθεσία που  διέπει αυτό και ειδικότερα βάσει του άρθρου 4 του </w:t>
      </w:r>
      <w:proofErr w:type="spellStart"/>
      <w:r w:rsidRPr="00D32247">
        <w:t>π.δ</w:t>
      </w:r>
      <w:proofErr w:type="spellEnd"/>
      <w:r w:rsidRPr="00D32247">
        <w:t xml:space="preserve"> της 30 Δεκεμβρίου 1926/3 Ιανουαρίου 1927 (“Περί συστάσεως και αποδόσεως παρακαταθηκών και καταθέσεων παρά τω </w:t>
      </w:r>
      <w:proofErr w:type="spellStart"/>
      <w:r w:rsidRPr="00D32247">
        <w:t>Ταμείω</w:t>
      </w:r>
      <w:proofErr w:type="spellEnd"/>
      <w:r w:rsidRPr="00D32247">
        <w:t xml:space="preserve"> Παρακαταθηκών και Δανείων”). </w:t>
      </w:r>
      <w:proofErr w:type="spellStart"/>
      <w:r w:rsidRPr="00D32247">
        <w:t>Πρβλ</w:t>
      </w:r>
      <w:proofErr w:type="spellEnd"/>
      <w:r w:rsidRPr="00D32247">
        <w:t xml:space="preserve">. το με αρ. </w:t>
      </w:r>
      <w:proofErr w:type="spellStart"/>
      <w:r w:rsidRPr="00D32247">
        <w:t>πρωτ</w:t>
      </w:r>
      <w:proofErr w:type="spellEnd"/>
      <w:r w:rsidRPr="00D32247">
        <w:t>. 2756/23-5-2017 έγγραφο της Ε.Α.Α.ΔΗ.ΣΥ. (ΑΔΑ: 7ΝΣΡΟΞΤΒ-975).</w:t>
      </w:r>
    </w:p>
  </w:footnote>
  <w:footnote w:id="34">
    <w:p w:rsidR="005B0B46" w:rsidRPr="00D32247" w:rsidRDefault="005B0B46" w:rsidP="00D32247">
      <w:r w:rsidRPr="00D32247">
        <w:footnoteRef/>
      </w:r>
      <w:r w:rsidRPr="00D32247">
        <w:tab/>
        <w:t>Παρ. 12 άρθρου 72 ν. 4412/2016</w:t>
      </w:r>
    </w:p>
  </w:footnote>
  <w:footnote w:id="35">
    <w:p w:rsidR="005B0B46" w:rsidRPr="00D32247" w:rsidRDefault="005B0B46" w:rsidP="00D32247">
      <w:r w:rsidRPr="00D32247">
        <w:footnoteRef/>
      </w:r>
      <w:r w:rsidRPr="00D32247">
        <w:tab/>
        <w:t>Βλ. σχετικά με ΣΔΣ https://www.wto.org/english/tratop_e/gproc_e/gp_gpa_e.htm</w:t>
      </w:r>
    </w:p>
  </w:footnote>
  <w:footnote w:id="36">
    <w:p w:rsidR="005B0B46" w:rsidRPr="00D32247" w:rsidRDefault="005B0B46" w:rsidP="00D32247">
      <w:r w:rsidRPr="00D32247">
        <w:footnoteRef/>
      </w:r>
      <w:r w:rsidRPr="00D32247">
        <w:tab/>
        <w:t>Σύμφωνα με το ισχύον κείμενο της ΣΔΣ, τα σχετικά παραρτήματα που αναφέρονται στο άρθρο 25 αντιστοιχούν πλέον στα 1, 2, 4, 5, 6 και 7.</w:t>
      </w:r>
    </w:p>
  </w:footnote>
  <w:footnote w:id="37">
    <w:p w:rsidR="005B0B46" w:rsidRPr="00D32247" w:rsidRDefault="005B0B46" w:rsidP="00D32247">
      <w:r w:rsidRPr="00D32247">
        <w:footnoteRef/>
      </w:r>
      <w:r w:rsidRPr="00D32247">
        <w:tab/>
        <w:t xml:space="preserve">Επισημαίνεται ότι απαγορεύεται η συμμετοχή </w:t>
      </w:r>
      <w:proofErr w:type="spellStart"/>
      <w:r w:rsidRPr="00D32247">
        <w:t>εξωχώριας</w:t>
      </w:r>
      <w:proofErr w:type="spellEnd"/>
      <w:r w:rsidRPr="00D32247">
        <w:t xml:space="preserve">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w:t>
      </w:r>
      <w:proofErr w:type="spellStart"/>
      <w:r w:rsidRPr="00D32247">
        <w:t>β΄της</w:t>
      </w:r>
      <w:proofErr w:type="spellEnd"/>
      <w:r w:rsidRPr="00D32247">
        <w:t xml:space="preserve"> παραγράφου 4 του άρθρου 4 του ν. 3310/2005. </w:t>
      </w:r>
    </w:p>
  </w:footnote>
  <w:footnote w:id="38">
    <w:p w:rsidR="005B0B46" w:rsidRPr="00D32247" w:rsidRDefault="005B0B46" w:rsidP="00D32247">
      <w:r w:rsidRPr="00D32247">
        <w:footnoteRef/>
      </w:r>
      <w:r w:rsidRPr="00D32247">
        <w:t xml:space="preserve">  </w:t>
      </w:r>
      <w:r w:rsidRPr="00D32247">
        <w:tab/>
      </w:r>
      <w:proofErr w:type="spellStart"/>
      <w:r w:rsidRPr="00D32247">
        <w:t>Πρβλ</w:t>
      </w:r>
      <w:proofErr w:type="spellEnd"/>
      <w:r w:rsidRPr="00D32247">
        <w:t xml:space="preserve">. σχετικά, σελ. 8 της Ανακοίνωσης της Επιτροπής C (2019) 5494 </w:t>
      </w:r>
      <w:proofErr w:type="spellStart"/>
      <w:r w:rsidRPr="00D32247">
        <w:t>final</w:t>
      </w:r>
      <w:proofErr w:type="spellEnd"/>
      <w:r w:rsidRPr="00D32247">
        <w:t xml:space="preserve"> «Κατευθυντήριες γραμμές για τη συμμετοχή προσφερόντων και αγαθών από τρίτες χώρες στην αγορά δημοσίων συμβάσεων της ΕΕ».</w:t>
      </w:r>
    </w:p>
  </w:footnote>
  <w:footnote w:id="39">
    <w:p w:rsidR="005B0B46" w:rsidRPr="00D32247" w:rsidRDefault="005B0B46" w:rsidP="00D32247">
      <w:r w:rsidRPr="00D32247">
        <w:footnoteRef/>
      </w:r>
      <w:r w:rsidRPr="00D32247">
        <w:t xml:space="preserve">  </w:t>
      </w:r>
      <w:r w:rsidRPr="00D32247">
        <w:tab/>
        <w:t>Άρθρο 19 ν. 4412/2016.</w:t>
      </w:r>
    </w:p>
  </w:footnote>
  <w:footnote w:id="40">
    <w:p w:rsidR="005B0B46" w:rsidRPr="00D32247" w:rsidRDefault="005B0B46" w:rsidP="00D32247">
      <w:r w:rsidRPr="00D32247">
        <w:rPr>
          <w:rFonts w:eastAsia="Wingdings"/>
        </w:rPr>
        <w:footnoteRef/>
      </w:r>
      <w:r w:rsidRPr="00D32247">
        <w:tab/>
        <w:t>Παρ. 1 ,2 και 12 του άρθρου 72 του ν.4412/2016.</w:t>
      </w:r>
    </w:p>
  </w:footnote>
  <w:footnote w:id="41">
    <w:p w:rsidR="005B0B46" w:rsidRPr="00D32247" w:rsidRDefault="005B0B46" w:rsidP="00D32247">
      <w:r w:rsidRPr="00D32247">
        <w:rPr>
          <w:rFonts w:eastAsia="Wingdings"/>
        </w:rPr>
        <w:footnoteRef/>
      </w:r>
      <w:r w:rsidRPr="00D32247">
        <w:tab/>
        <w:t>Άρθρο 72 παρ. 3 εδάφιο δεύτερο του ν. 4412/2016.</w:t>
      </w:r>
    </w:p>
  </w:footnote>
  <w:footnote w:id="42">
    <w:p w:rsidR="005B0B46" w:rsidRPr="00D32247" w:rsidRDefault="005B0B46" w:rsidP="00D32247">
      <w:r w:rsidRPr="00D32247">
        <w:footnoteRef/>
      </w:r>
      <w:r w:rsidRPr="00D32247">
        <w:t xml:space="preserve"> </w:t>
      </w:r>
      <w:r w:rsidRPr="00D32247">
        <w:tab/>
        <w:t>Άρθρο 88 σε συνδυασμό με άρθρο 72 ν. 4412/2016</w:t>
      </w:r>
    </w:p>
  </w:footnote>
  <w:footnote w:id="43">
    <w:p w:rsidR="005B0B46" w:rsidRPr="00D32247" w:rsidRDefault="005B0B46" w:rsidP="00D32247">
      <w:r w:rsidRPr="00D32247">
        <w:rPr>
          <w:rFonts w:eastAsia="Wingdings"/>
        </w:rPr>
        <w:footnoteRef/>
      </w:r>
      <w:r w:rsidRPr="00D32247">
        <w:tab/>
        <w:t>Άρθρα 73 και 74 ν. 4412/2016</w:t>
      </w:r>
    </w:p>
  </w:footnote>
  <w:footnote w:id="44">
    <w:p w:rsidR="005B0B46" w:rsidRPr="00D32247" w:rsidRDefault="005B0B46" w:rsidP="00D32247">
      <w:r w:rsidRPr="00D32247">
        <w:rPr>
          <w:rFonts w:eastAsia="Wingdings"/>
        </w:rPr>
        <w:footnoteRef/>
      </w:r>
      <w:r w:rsidRPr="00D32247">
        <w:tab/>
        <w:t xml:space="preserve">Επισημαίνεται ότι 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 </w:t>
      </w:r>
    </w:p>
    <w:p w:rsidR="005B0B46" w:rsidRPr="00D32247" w:rsidRDefault="005B0B46" w:rsidP="00D32247">
      <w:r w:rsidRPr="00D32247">
        <w:tab/>
      </w:r>
    </w:p>
  </w:footnote>
  <w:footnote w:id="45">
    <w:p w:rsidR="005B0B46" w:rsidRPr="00D32247" w:rsidRDefault="005B0B46" w:rsidP="00D32247">
      <w:r w:rsidRPr="00D32247">
        <w:rPr>
          <w:rFonts w:eastAsia="Wingdings"/>
        </w:rPr>
        <w:footnoteRef/>
      </w:r>
      <w:r w:rsidRPr="00D32247">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sidRPr="00D32247">
        <w:t>πρβλ</w:t>
      </w:r>
      <w:proofErr w:type="spellEnd"/>
      <w:r w:rsidRPr="00D32247">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46">
    <w:p w:rsidR="005B0B46" w:rsidRPr="00D32247" w:rsidRDefault="005B0B46" w:rsidP="00D32247">
      <w:r w:rsidRPr="00D32247">
        <w:rPr>
          <w:rFonts w:eastAsia="Wingdings"/>
        </w:rPr>
        <w:footnoteRef/>
      </w:r>
      <w:r w:rsidRPr="00D32247">
        <w:tab/>
        <w:t xml:space="preserve">Ειδικά για τους δυνητικούς λόγους αποκλεισμού </w:t>
      </w:r>
      <w:proofErr w:type="spellStart"/>
      <w:r w:rsidRPr="00D32247">
        <w:t>πρβλ</w:t>
      </w:r>
      <w:proofErr w:type="spellEnd"/>
      <w:r w:rsidRPr="00D32247">
        <w:t>. την Κατευθυντήρια Οδηγία 20/22-06-2017 της Αρχής (ΑΔΑ: ΩΡΞ3ΟΞΤΒ-9Ρ5). 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w:t>
      </w:r>
      <w:proofErr w:type="spellStart"/>
      <w:r w:rsidRPr="00D32247">
        <w:t>πρβλ</w:t>
      </w:r>
      <w:proofErr w:type="spellEnd"/>
      <w:r w:rsidRPr="00D32247">
        <w:t xml:space="preserve"> και αιτιολογική σκέψη 101 της Οδηγίας 2014/24/ΕΕ).</w:t>
      </w:r>
    </w:p>
  </w:footnote>
  <w:footnote w:id="47">
    <w:p w:rsidR="005B0B46" w:rsidRPr="00D32247" w:rsidRDefault="005B0B46" w:rsidP="00D32247">
      <w:r w:rsidRPr="00D32247">
        <w:rPr>
          <w:rFonts w:eastAsia="Wingdings"/>
        </w:rPr>
        <w:footnoteRef/>
      </w:r>
      <w:r w:rsidRPr="00D32247">
        <w:tab/>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sidRPr="00D32247">
        <w:t>θ΄</w:t>
      </w:r>
      <w:proofErr w:type="spellEnd"/>
      <w:r w:rsidRPr="00D32247">
        <w:t xml:space="preserve"> της παραγράφου 4 του άρθρου 73. </w:t>
      </w:r>
      <w:proofErr w:type="spellStart"/>
      <w:r w:rsidRPr="00D32247">
        <w:t>Πρβλ</w:t>
      </w:r>
      <w:proofErr w:type="spellEnd"/>
      <w:r w:rsidRPr="00D32247">
        <w:t>. άρθρο 18 παρ. 5 του ν. 4412/2106.</w:t>
      </w:r>
    </w:p>
  </w:footnote>
  <w:footnote w:id="48">
    <w:p w:rsidR="005B0B46" w:rsidRPr="00D32247" w:rsidRDefault="005B0B46" w:rsidP="00D32247">
      <w:r w:rsidRPr="00D32247">
        <w:rPr>
          <w:rFonts w:eastAsia="Wingdings"/>
        </w:rPr>
        <w:footnoteRef/>
      </w:r>
      <w:r w:rsidRPr="00D32247">
        <w:tab/>
        <w:t xml:space="preserve">Παρ. 10 του άρθρου 73 ν.4412/2016.Επίσης, </w:t>
      </w:r>
      <w:proofErr w:type="spellStart"/>
      <w:r w:rsidRPr="00D32247">
        <w:t>πρβλ</w:t>
      </w:r>
      <w:proofErr w:type="spellEnd"/>
      <w:r w:rsidRPr="00D32247">
        <w:t xml:space="preserve">. υπ’ </w:t>
      </w:r>
      <w:proofErr w:type="spellStart"/>
      <w:r w:rsidRPr="00D32247">
        <w:t>αριθμ</w:t>
      </w:r>
      <w:proofErr w:type="spellEnd"/>
      <w:r w:rsidRPr="00D32247">
        <w:t xml:space="preserve">. </w:t>
      </w:r>
      <w:proofErr w:type="spellStart"/>
      <w:r w:rsidRPr="00D32247">
        <w:t>πρωτ</w:t>
      </w:r>
      <w:proofErr w:type="spellEnd"/>
      <w:r w:rsidRPr="00D32247">
        <w:t xml:space="preserve">. 6271/30-11-2018 έγγραφο της Αρχής (ΑΔΑ Ψ3Κ8ΟΞΤΒ-09Β) σχετικά με την απόφαση ΔΕΕ της 24 Οκτωβρίου 2018 στην υπόθεση C-124/2017. </w:t>
      </w:r>
    </w:p>
  </w:footnote>
  <w:footnote w:id="49">
    <w:p w:rsidR="005B0B46" w:rsidRPr="00D32247" w:rsidRDefault="005B0B46" w:rsidP="00D32247">
      <w:r w:rsidRPr="00D32247">
        <w:footnoteRef/>
      </w:r>
      <w:r w:rsidRPr="00D32247">
        <w:t xml:space="preserve"> </w:t>
      </w:r>
      <w:r w:rsidRPr="00D32247">
        <w:tab/>
        <w:t>Σχετικά με την προσκόμιση αποδείξεων για τα επανορθωτικά μέτρα βλ. την απόφαση της 14ης Ιανουαρίου 2021 του ΔΕΕ στην υπόθεση C‑387/19</w:t>
      </w:r>
    </w:p>
  </w:footnote>
  <w:footnote w:id="50">
    <w:p w:rsidR="005B0B46" w:rsidRPr="00D32247" w:rsidRDefault="005B0B46" w:rsidP="00D32247">
      <w:r w:rsidRPr="00D32247">
        <w:rPr>
          <w:rFonts w:eastAsia="Wingdings"/>
        </w:rPr>
        <w:footnoteRef/>
      </w:r>
      <w:r w:rsidRPr="00D32247">
        <w:tab/>
        <w:t xml:space="preserve">Παρ. 7 άρθρου 73 ν. 4412/2016.  </w:t>
      </w:r>
    </w:p>
  </w:footnote>
  <w:footnote w:id="51">
    <w:p w:rsidR="005B0B46" w:rsidRPr="00D32247" w:rsidRDefault="005B0B46" w:rsidP="00D32247">
      <w:r w:rsidRPr="00D32247">
        <w:rPr>
          <w:rFonts w:eastAsia="Wingdings"/>
        </w:rPr>
        <w:footnoteRef/>
      </w:r>
      <w:r w:rsidRPr="00D32247">
        <w:tab/>
      </w:r>
      <w:proofErr w:type="spellStart"/>
      <w:r w:rsidRPr="00D32247">
        <w:t>Πρβλ</w:t>
      </w:r>
      <w:proofErr w:type="spellEnd"/>
      <w:r w:rsidRPr="00D32247">
        <w:t xml:space="preserve">. απόφαση υπ’ </w:t>
      </w:r>
      <w:proofErr w:type="spellStart"/>
      <w:r w:rsidRPr="00D32247">
        <w:t>αριθμ</w:t>
      </w:r>
      <w:proofErr w:type="spellEnd"/>
      <w:r w:rsidRPr="00D32247">
        <w:t xml:space="preserve">. 49341 -19/05/2020 (ΦΕΚ 385 τεύχος ΥΟΔΔ, 25-05-2020), η οποία εξακολουθεί να ισχύει έως την  έκδοση της απόφασης της παρ. 9 του άρθρου 73 του ν. 4412/2016. </w:t>
      </w:r>
    </w:p>
  </w:footnote>
  <w:footnote w:id="52">
    <w:p w:rsidR="005B0B46" w:rsidRPr="00D32247" w:rsidRDefault="005B0B46" w:rsidP="00D32247">
      <w:r w:rsidRPr="00D32247">
        <w:rPr>
          <w:rFonts w:eastAsia="Wingdings"/>
        </w:rPr>
        <w:footnoteRef/>
      </w:r>
      <w:r w:rsidRPr="00D32247">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A.A. και πρέπει να σχετίζονται και να είναι ανάλογα με το αντικείμενο της σύμβασης (άρθρο 75 παρ. 1 του ν. 4412/2016). Επιπλέον, οι A.A.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 </w:t>
      </w:r>
      <w:proofErr w:type="spellStart"/>
      <w:r w:rsidRPr="00D32247">
        <w:t>Πρβλ</w:t>
      </w:r>
      <w:proofErr w:type="spellEnd"/>
      <w:r w:rsidRPr="00D32247">
        <w:t>. και την Κατευθυντήρια Οδηγία 13 της Ε.Α.Α.ΔΗ.ΣΥ. ''Κριτήρια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(ΑΔΑ ΩΒΥ7ΟΞΤΒ-ΤΛ7) και ειδικότερα τις Ενότητες IΙΙ και IV παρ. 1 όπου παρατίθενται σχετικά  παραδείγματα.</w:t>
      </w:r>
    </w:p>
  </w:footnote>
  <w:footnote w:id="53">
    <w:p w:rsidR="005B0B46" w:rsidRPr="00D32247" w:rsidRDefault="005B0B46" w:rsidP="00D32247">
      <w:r w:rsidRPr="00D32247">
        <w:rPr>
          <w:rFonts w:eastAsia="Wingdings"/>
        </w:rPr>
        <w:footnoteRef/>
      </w:r>
      <w:r w:rsidRPr="00D32247">
        <w:tab/>
        <w:t>Άρθρο  75 παρ. 2 ν. 4412/2016.</w:t>
      </w:r>
    </w:p>
  </w:footnote>
  <w:footnote w:id="54">
    <w:p w:rsidR="005B0B46" w:rsidRPr="00D32247" w:rsidRDefault="005B0B46" w:rsidP="00D32247">
      <w:r w:rsidRPr="00D32247">
        <w:rPr>
          <w:rFonts w:eastAsia="Wingdings"/>
        </w:rPr>
        <w:footnoteRef/>
      </w:r>
      <w:r w:rsidRPr="00D32247">
        <w:tab/>
        <w:t>Παράρτημα XI Προσαρτήματος Α ν. 4412/2016.</w:t>
      </w:r>
    </w:p>
  </w:footnote>
  <w:footnote w:id="55">
    <w:p w:rsidR="005B0B46" w:rsidRPr="00D32247" w:rsidRDefault="005B0B46" w:rsidP="00D32247">
      <w:r w:rsidRPr="00D32247">
        <w:rPr>
          <w:rFonts w:eastAsia="Wingdings"/>
        </w:rPr>
        <w:footnoteRef/>
      </w:r>
      <w:r w:rsidRPr="00D32247">
        <w:tab/>
        <w:t>Άρθρο 75 παρ. 3 ν. 4412/2016. Επισημαίνεται, περαιτέρω, ότι οι Α.Α. μπορούν (χωρίς αυτό να είναι υποχρεωτικό) να διαμορφώσουν την παρούσα παράγραφο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56">
    <w:p w:rsidR="005B0B46" w:rsidRPr="00D32247" w:rsidRDefault="005B0B46" w:rsidP="00D32247">
      <w:r w:rsidRPr="00D32247">
        <w:rPr>
          <w:rFonts w:eastAsia="Wingdings"/>
        </w:rPr>
        <w:footnoteRef/>
      </w:r>
      <w:r w:rsidRPr="00D32247">
        <w:tab/>
        <w:t xml:space="preserve">Άρθρο 75 παρ. 4 ν. 4412/2016. </w:t>
      </w:r>
    </w:p>
  </w:footnote>
  <w:footnote w:id="57">
    <w:p w:rsidR="005B0B46" w:rsidRPr="00D32247" w:rsidRDefault="005B0B46" w:rsidP="00D32247">
      <w:r w:rsidRPr="00D32247">
        <w:rPr>
          <w:rFonts w:eastAsia="Wingdings"/>
        </w:rPr>
        <w:footnoteRef/>
      </w:r>
      <w:r w:rsidRPr="00D32247">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58">
    <w:p w:rsidR="005B0B46" w:rsidRPr="00D32247" w:rsidRDefault="005B0B46" w:rsidP="00D32247">
      <w:r w:rsidRPr="00D32247">
        <w:footnoteRef/>
      </w:r>
      <w:r w:rsidRPr="00D32247">
        <w:tab/>
        <w:t>Άρθρο 78 ν. 4412/2016</w:t>
      </w:r>
    </w:p>
  </w:footnote>
  <w:footnote w:id="59">
    <w:p w:rsidR="005B0B46" w:rsidRPr="00D32247" w:rsidRDefault="005B0B46" w:rsidP="00D32247">
      <w:r w:rsidRPr="00D32247">
        <w:rPr>
          <w:rFonts w:eastAsia="Wingdings"/>
        </w:rPr>
        <w:footnoteRef/>
      </w:r>
      <w:r w:rsidRPr="00D32247">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60">
    <w:p w:rsidR="005B0B46" w:rsidRPr="00D32247" w:rsidRDefault="005B0B46" w:rsidP="00D32247">
      <w:r w:rsidRPr="00D32247">
        <w:footnoteRef/>
      </w:r>
      <w:r w:rsidRPr="00D32247">
        <w:tab/>
        <w:t>Ο όρος αυτός μπορεί να τεθεί, κατά την κρίση της αναθέτουσας αρχής, και στην περίπτωση ποσοστού μικρότερου του 30% της εκτιμώμενης αξίας της σύμβασης (</w:t>
      </w:r>
      <w:proofErr w:type="spellStart"/>
      <w:r w:rsidRPr="00D32247">
        <w:t>πρβλ</w:t>
      </w:r>
      <w:proofErr w:type="spellEnd"/>
      <w:r w:rsidRPr="00D32247">
        <w:t>. παρ. 5 άρθρου 131 του ν. 4412/2016).</w:t>
      </w:r>
    </w:p>
  </w:footnote>
  <w:footnote w:id="61">
    <w:p w:rsidR="005B0B46" w:rsidRPr="00D32247" w:rsidRDefault="005B0B46" w:rsidP="00D32247">
      <w:r w:rsidRPr="00D32247">
        <w:rPr>
          <w:rFonts w:eastAsia="Wingdings"/>
        </w:rPr>
        <w:footnoteRef/>
      </w:r>
      <w:r w:rsidRPr="00D32247">
        <w:tab/>
        <w:t>Άρθρο 78 παρ. 1 ν. 4412/2016.</w:t>
      </w:r>
    </w:p>
  </w:footnote>
  <w:footnote w:id="62">
    <w:p w:rsidR="005B0B46" w:rsidRPr="00D32247" w:rsidRDefault="005B0B46" w:rsidP="00D32247">
      <w:r w:rsidRPr="00D32247">
        <w:rPr>
          <w:rFonts w:eastAsia="Wingdings"/>
        </w:rPr>
        <w:footnoteRef/>
      </w:r>
      <w:r w:rsidRPr="00D32247">
        <w:tab/>
        <w:t>Άρθρο 131 παρ. 6 ν. 4412/2016</w:t>
      </w:r>
    </w:p>
  </w:footnote>
  <w:footnote w:id="63">
    <w:p w:rsidR="005B0B46" w:rsidRPr="00D32247" w:rsidRDefault="005B0B46" w:rsidP="00D32247">
      <w:r w:rsidRPr="00D32247">
        <w:footnoteRef/>
      </w:r>
      <w:r w:rsidRPr="00D32247">
        <w:tab/>
        <w:t xml:space="preserve">Άρθρο 104 σε συνδυασμό με τις παρ. 4 και 5 του άρθρου 105 του ν. 4412/2016 </w:t>
      </w:r>
    </w:p>
  </w:footnote>
  <w:footnote w:id="64">
    <w:p w:rsidR="005B0B46" w:rsidRPr="00D32247" w:rsidRDefault="005B0B46" w:rsidP="00D32247">
      <w:r w:rsidRPr="00D32247">
        <w:rPr>
          <w:rFonts w:eastAsia="Wingdings"/>
        </w:rPr>
        <w:footnoteRef/>
      </w:r>
      <w:r w:rsidRPr="00D32247">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Μέρος VI Τελικές δηλώσεις. </w:t>
      </w:r>
    </w:p>
  </w:footnote>
  <w:footnote w:id="65">
    <w:p w:rsidR="005B0B46" w:rsidRPr="00D32247" w:rsidRDefault="005B0B46" w:rsidP="00D32247">
      <w:r w:rsidRPr="00D32247">
        <w:rPr>
          <w:rFonts w:eastAsia="Wingdings"/>
        </w:rPr>
        <w:footnoteRef/>
      </w:r>
      <w:r w:rsidRPr="00D32247">
        <w:tab/>
        <w:t>Από τις 2-5-2019, παρέχεται η ηλεκτρονική υπηρεσία </w:t>
      </w:r>
      <w:hyperlink r:id="rId1" w:anchor="_blank" w:history="1">
        <w:r w:rsidRPr="00D32247">
          <w:t>Promitheus ESPDint </w:t>
        </w:r>
      </w:hyperlink>
      <w:r w:rsidRPr="00D32247">
        <w:t>(</w:t>
      </w:r>
      <w:hyperlink r:id="rId2" w:anchor="_blank" w:history="1">
        <w:r w:rsidRPr="00D32247">
          <w:t>https://espdint.eprocurement.gov.gr/</w:t>
        </w:r>
      </w:hyperlink>
      <w:r w:rsidRPr="00D32247">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D32247">
          <w:t>www.promitheus.gov.gr</w:t>
        </w:r>
      </w:hyperlink>
      <w:r w:rsidRPr="00D32247">
        <w:t xml:space="preserve"> </w:t>
      </w:r>
      <w:proofErr w:type="spellStart"/>
      <w:r w:rsidRPr="00D32247">
        <w:t>Πρβλ</w:t>
      </w:r>
      <w:proofErr w:type="spellEnd"/>
      <w:r w:rsidRPr="00D32247">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Pr="00D32247">
          <w:t>https://eur-lex.europa.eu/legal-content/EL/TXT/HTML/?uri=CELEX:32016R0007R(01)&amp;from=EL</w:t>
        </w:r>
      </w:hyperlink>
      <w:r w:rsidRPr="00D32247">
        <w:t xml:space="preserve">            </w:t>
      </w:r>
    </w:p>
  </w:footnote>
  <w:footnote w:id="66">
    <w:p w:rsidR="005B0B46" w:rsidRPr="00D32247" w:rsidRDefault="005B0B46" w:rsidP="00D32247">
      <w:r w:rsidRPr="00D32247">
        <w:rPr>
          <w:rFonts w:eastAsia="Wingdings"/>
        </w:rPr>
        <w:footnoteRef/>
      </w:r>
      <w:r w:rsidRPr="00D32247">
        <w:tab/>
        <w:t>Άρθρο 79Α παρ. 4 του ν. 4412/2016</w:t>
      </w:r>
    </w:p>
  </w:footnote>
  <w:footnote w:id="67">
    <w:p w:rsidR="005B0B46" w:rsidRPr="00D32247" w:rsidRDefault="005B0B46" w:rsidP="00D32247">
      <w:r w:rsidRPr="00D32247">
        <w:footnoteRef/>
      </w:r>
      <w:r w:rsidRPr="00D32247">
        <w:tab/>
        <w:t>Άρθρο 79 παρ. 9 του ν. 4412/2016</w:t>
      </w:r>
    </w:p>
  </w:footnote>
  <w:footnote w:id="68">
    <w:p w:rsidR="005B0B46" w:rsidRPr="00D32247" w:rsidRDefault="005B0B46" w:rsidP="00D32247">
      <w:r w:rsidRPr="00D32247">
        <w:footnoteRef/>
      </w:r>
      <w:r w:rsidRPr="00D32247">
        <w:tab/>
        <w:t>Άρθρο 96 παρ. 7 του ν. 4412/2016</w:t>
      </w:r>
    </w:p>
  </w:footnote>
  <w:footnote w:id="69">
    <w:p w:rsidR="005B0B46" w:rsidRPr="00D32247" w:rsidRDefault="005B0B46" w:rsidP="00D32247">
      <w:r w:rsidRPr="00D32247">
        <w:footnoteRef/>
      </w:r>
      <w:r w:rsidRPr="00D32247">
        <w:tab/>
        <w:t xml:space="preserve">βλ. Δ.Ε.Ε. απόφαση της 19.6.2019, </w:t>
      </w:r>
      <w:proofErr w:type="spellStart"/>
      <w:r w:rsidRPr="00D32247">
        <w:t>Meca</w:t>
      </w:r>
      <w:proofErr w:type="spellEnd"/>
      <w:r w:rsidRPr="00D32247">
        <w:t>, C-41/18, EU:C:2019:507, σκ. 28</w:t>
      </w:r>
    </w:p>
  </w:footnote>
  <w:footnote w:id="70">
    <w:p w:rsidR="005B0B46" w:rsidRPr="00D32247" w:rsidRDefault="005B0B46" w:rsidP="00D32247">
      <w:r w:rsidRPr="00D32247">
        <w:footnoteRef/>
      </w:r>
      <w:r w:rsidRPr="00D32247">
        <w:tab/>
        <w:t xml:space="preserve">Βλ. ενδεικτικά </w:t>
      </w:r>
      <w:proofErr w:type="spellStart"/>
      <w:r w:rsidRPr="00D32247">
        <w:t>ΣτΕ</w:t>
      </w:r>
      <w:proofErr w:type="spellEnd"/>
      <w:r w:rsidRPr="00D32247">
        <w:t xml:space="preserve"> 754/2020, 753/2020 (Δ΄ Τμήμα) </w:t>
      </w:r>
    </w:p>
  </w:footnote>
  <w:footnote w:id="71">
    <w:p w:rsidR="005B0B46" w:rsidRPr="00D32247" w:rsidRDefault="005B0B46" w:rsidP="00D32247">
      <w:r w:rsidRPr="00D32247">
        <w:footnoteRef/>
      </w:r>
      <w:r w:rsidRPr="00D32247">
        <w:tab/>
        <w:t>Παρ. 1 του άρθρου 79 του ν. 4412/2016, όπως τροποποιήθηκε με την παρ. 5 του άρθρου 235 του ν. 4635/2019.</w:t>
      </w:r>
    </w:p>
  </w:footnote>
  <w:footnote w:id="72">
    <w:p w:rsidR="005B0B46" w:rsidRPr="00D32247" w:rsidRDefault="005B0B46" w:rsidP="00D32247">
      <w:r w:rsidRPr="00D32247">
        <w:footnoteRef/>
      </w:r>
      <w:r w:rsidRPr="00D32247">
        <w:t xml:space="preserve"> </w:t>
      </w:r>
      <w:r w:rsidRPr="00D32247">
        <w:tab/>
        <w:t>Παρ. 2Α άρθρου 73 σε συνδυασμό με την παρ. 8 του άρθρου 79 του ν. 4412/2016</w:t>
      </w:r>
    </w:p>
  </w:footnote>
  <w:footnote w:id="73">
    <w:p w:rsidR="005B0B46" w:rsidRPr="00D32247" w:rsidRDefault="005B0B46" w:rsidP="00D32247">
      <w:r w:rsidRPr="00D32247">
        <w:rPr>
          <w:rFonts w:eastAsia="Wingdings"/>
        </w:rPr>
        <w:footnoteRef/>
      </w:r>
      <w:r w:rsidRPr="00D32247">
        <w:tab/>
        <w:t xml:space="preserve">Άρθρο 80 ν. 4412/2016.  Επισημαίνεται, περαιτέρω ότι η A.A.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74">
    <w:p w:rsidR="005B0B46" w:rsidRPr="00D32247" w:rsidRDefault="005B0B46" w:rsidP="00D32247">
      <w:r w:rsidRPr="00D32247">
        <w:rPr>
          <w:rFonts w:eastAsia="Wingdings"/>
        </w:rPr>
        <w:footnoteRef/>
      </w:r>
      <w:r w:rsidRPr="00D32247">
        <w:tab/>
        <w:t>Άρθρο 79 παρ. 6 ν. 4412/2016.</w:t>
      </w:r>
    </w:p>
  </w:footnote>
  <w:footnote w:id="75">
    <w:p w:rsidR="005B0B46" w:rsidRPr="00D32247" w:rsidRDefault="005B0B46" w:rsidP="00D32247">
      <w:r w:rsidRPr="00D32247">
        <w:rPr>
          <w:rFonts w:eastAsia="Wingdings"/>
        </w:rPr>
        <w:footnoteRef/>
      </w:r>
      <w:r w:rsidRPr="00D32247">
        <w:t xml:space="preserve"> </w:t>
      </w:r>
      <w:r w:rsidRPr="00D32247">
        <w:tab/>
        <w:t>Εφόσον η αναθέτουσα αρχή την επιλέξει ως λόγο αποκλεισμού.</w:t>
      </w:r>
    </w:p>
  </w:footnote>
  <w:footnote w:id="76">
    <w:p w:rsidR="005B0B46" w:rsidRPr="00D32247" w:rsidRDefault="005B0B46" w:rsidP="00D32247">
      <w:r w:rsidRPr="00D32247">
        <w:footnoteRef/>
      </w:r>
      <w:r w:rsidRPr="00D32247">
        <w:t xml:space="preserve"> </w:t>
      </w:r>
      <w:r w:rsidRPr="00D32247">
        <w:tab/>
        <w:t>Παρ. 4 του άρθρου 74 του ν. 4412/2016</w:t>
      </w:r>
    </w:p>
  </w:footnote>
  <w:footnote w:id="77">
    <w:p w:rsidR="005B0B46" w:rsidRPr="00D32247" w:rsidRDefault="005B0B46" w:rsidP="00D32247">
      <w:r w:rsidRPr="00D32247">
        <w:rPr>
          <w:rFonts w:eastAsia="Wingdings"/>
        </w:rPr>
        <w:footnoteRef/>
      </w:r>
      <w:r w:rsidRPr="00D32247">
        <w:tab/>
      </w:r>
      <w:proofErr w:type="spellStart"/>
      <w:r w:rsidRPr="00D32247">
        <w:t>Πρβλ</w:t>
      </w:r>
      <w:proofErr w:type="spellEnd"/>
      <w:r w:rsidRPr="00D32247">
        <w:t>. Παράρτημα XI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78">
    <w:p w:rsidR="005B0B46" w:rsidRPr="00D32247" w:rsidRDefault="005B0B46" w:rsidP="00D32247">
      <w:r w:rsidRPr="00D32247">
        <w:rPr>
          <w:rFonts w:eastAsia="Wingdings"/>
        </w:rPr>
        <w:footnoteRef/>
      </w:r>
      <w:r w:rsidRPr="00D32247">
        <w:tab/>
        <w:t>Συμπληρώνεται από την Α.Α. με ένα ή περισσότερα από τα δικαιολογητικά που αναφέρονται στο Μέρος I του Παραρτήματος XII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79">
    <w:p w:rsidR="005B0B46" w:rsidRPr="00D32247" w:rsidRDefault="005B0B46" w:rsidP="00D32247">
      <w:r w:rsidRPr="00D32247">
        <w:rPr>
          <w:rFonts w:eastAsia="Wingdings"/>
        </w:rPr>
        <w:footnoteRef/>
      </w:r>
      <w:r w:rsidRPr="00D32247">
        <w:tab/>
        <w:t>Συμπληρώνεται από την Α.Α. με ένα ή περισσότερα από τα δικαιολογητικά που αναφέρονται στο Μέρος II του Παραρτήματος XII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2.2.6.</w:t>
      </w:r>
    </w:p>
  </w:footnote>
  <w:footnote w:id="80">
    <w:p w:rsidR="005B0B46" w:rsidRPr="00D32247" w:rsidRDefault="005B0B46" w:rsidP="00D32247">
      <w:r w:rsidRPr="00D32247">
        <w:footnoteRef/>
      </w:r>
      <w:r w:rsidRPr="00D32247">
        <w:t xml:space="preserve">   </w:t>
      </w:r>
      <w:r w:rsidRPr="00D32247">
        <w:tab/>
        <w:t>Σύμφωνα με το άρθρο 86 ν. 4635/2019 στο ΓΕΜΗ εγγράφονται υποχρεωτικά:</w:t>
      </w:r>
    </w:p>
    <w:p w:rsidR="005B0B46" w:rsidRPr="00D32247" w:rsidRDefault="005B0B46" w:rsidP="00D32247">
      <w:r w:rsidRPr="00D32247">
        <w:t xml:space="preserve"> α. </w:t>
      </w:r>
      <w:r w:rsidRPr="00D32247">
        <w:tab/>
        <w:t>η Ανώνυμη Εταιρεία που προβλέπεται στον ν. 4548/2018 (Α` 104), β. η Εταιρεία Περιορισμένης Ευθύνης που προβλέπεται στον ν. 3190/1955 (Α` 91),</w:t>
      </w:r>
    </w:p>
    <w:p w:rsidR="005B0B46" w:rsidRPr="00D32247" w:rsidRDefault="005B0B46" w:rsidP="00D32247">
      <w:r w:rsidRPr="00D32247">
        <w:t xml:space="preserve"> γ. </w:t>
      </w:r>
      <w:r w:rsidRPr="00D32247">
        <w:tab/>
        <w:t>η Ιδιωτική Κεφαλαιουχική Εταιρεία που προβλέπεται στον ν. 4072/2012 (Α` 86),</w:t>
      </w:r>
    </w:p>
    <w:p w:rsidR="005B0B46" w:rsidRPr="00D32247" w:rsidRDefault="005B0B46" w:rsidP="00D32247">
      <w:r w:rsidRPr="00D32247">
        <w:t xml:space="preserve"> δ. </w:t>
      </w:r>
      <w:r w:rsidRPr="00D32247">
        <w:tab/>
        <w:t>η Ομόρρυθμη και Ετερόρρυθμη (απλή ή κατά μετοχές) Εταιρεία που προβλέπονται στον ν. 4072/2012 (Α` 86), καθώς και οι ομόρρυθμοι εταίροι αυτών,</w:t>
      </w:r>
    </w:p>
    <w:p w:rsidR="005B0B46" w:rsidRPr="00D32247" w:rsidRDefault="005B0B46" w:rsidP="00D32247">
      <w:r w:rsidRPr="00D32247">
        <w:t xml:space="preserve"> ε.</w:t>
      </w:r>
      <w:r w:rsidRPr="00D32247">
        <w:tab/>
        <w:t>ο Αστικός Συνεταιρισμός του ν. 1667/1986 (Α` 196) (στον οποίο περιλαμβάνονται ο αλληλασφαλιστικός, ο πιστωτικός και ο οικοδομικός συνεταιρισμός),</w:t>
      </w:r>
    </w:p>
    <w:p w:rsidR="005B0B46" w:rsidRPr="00D32247" w:rsidRDefault="005B0B46" w:rsidP="00D32247">
      <w:r w:rsidRPr="00D32247">
        <w:t xml:space="preserve"> στ. η </w:t>
      </w:r>
      <w:proofErr w:type="spellStart"/>
      <w:r w:rsidRPr="00D32247">
        <w:t>Κοιν.Σ.ΕΠ</w:t>
      </w:r>
      <w:proofErr w:type="spellEnd"/>
      <w:r w:rsidRPr="00D32247">
        <w:t>. που συστήνεται κατά τον ν. 4430/2016 (Α` 205) και</w:t>
      </w:r>
    </w:p>
    <w:p w:rsidR="005B0B46" w:rsidRPr="00D32247" w:rsidRDefault="005B0B46" w:rsidP="00D32247">
      <w:r w:rsidRPr="00D32247">
        <w:t xml:space="preserve"> ζ.</w:t>
      </w:r>
      <w:r w:rsidRPr="00D32247">
        <w:tab/>
        <w:t xml:space="preserve">η </w:t>
      </w:r>
      <w:proofErr w:type="spellStart"/>
      <w:r w:rsidRPr="00D32247">
        <w:t>Κοι.Σ.Π.Ε</w:t>
      </w:r>
      <w:proofErr w:type="spellEnd"/>
      <w:r w:rsidRPr="00D32247">
        <w:t>. που συστήνεται κατά τον ν. 2716/1999 (Α` 96),</w:t>
      </w:r>
    </w:p>
    <w:p w:rsidR="005B0B46" w:rsidRPr="00D32247" w:rsidRDefault="005B0B46" w:rsidP="00D32247">
      <w:r w:rsidRPr="00D32247">
        <w:t xml:space="preserve"> η. </w:t>
      </w:r>
      <w:r w:rsidRPr="00D32247">
        <w:tab/>
        <w:t>η Αστική Εταιρεία με οικονομικό σκοπό (άρθρο 784 ΑΚ και 270 του ν. 4072/2012),</w:t>
      </w:r>
    </w:p>
    <w:p w:rsidR="005B0B46" w:rsidRPr="00D32247" w:rsidRDefault="005B0B46" w:rsidP="00D32247">
      <w:r w:rsidRPr="00D32247">
        <w:t xml:space="preserve"> θ. </w:t>
      </w:r>
      <w:r w:rsidRPr="00D32247">
        <w:tab/>
        <w:t>ο Ευρωπαϊκός Όμιλος Οικονομικού Σκοπού που προβλέπεται από τον Κανονισμό 2137/1985/ΕΟΚ (ΕΕΕΚ L. 199, διορθωτικό L. 247) και έχει την έδρα του στην ημεδαπή,</w:t>
      </w:r>
    </w:p>
    <w:p w:rsidR="005B0B46" w:rsidRPr="00D32247" w:rsidRDefault="005B0B46" w:rsidP="00D32247">
      <w:r w:rsidRPr="00D32247">
        <w:t xml:space="preserve"> ι. </w:t>
      </w:r>
      <w:r w:rsidRPr="00D32247">
        <w:tab/>
        <w:t>η Ευρωπαϊκή Εταιρεία που προβλέπεται στον Κανονισμό 2157/2001/ΕΚ (ΕΕΕΚ L. 294) και έχει την έδρα της στην ημεδαπή,</w:t>
      </w:r>
    </w:p>
    <w:p w:rsidR="005B0B46" w:rsidRPr="00D32247" w:rsidRDefault="005B0B46" w:rsidP="00D32247">
      <w:r w:rsidRPr="00D32247">
        <w:t xml:space="preserve"> ια. </w:t>
      </w:r>
      <w:r w:rsidRPr="00D32247">
        <w:tab/>
        <w:t>η Ευρωπαϊκή Συνεταιριστική Εταιρεία που προβλέπεται στον Κανονισμό 1435/2003/ΕΚ (ΕΕΕΚ L. 207) και έχει την έδρα της στην ημεδαπή,</w:t>
      </w:r>
    </w:p>
    <w:p w:rsidR="005B0B46" w:rsidRPr="00D32247" w:rsidRDefault="005B0B46" w:rsidP="00D32247">
      <w:r w:rsidRPr="00D32247">
        <w:t xml:space="preserve"> ιβ. </w:t>
      </w:r>
      <w:r w:rsidRPr="00D32247">
        <w:tab/>
        <w:t>τα υποκαταστήματα ή πρακτορεία που διατηρούν στην ημεδαπή οι αλλοδαπές εταιρείες που αναφέρονται στο άρθρο 29 της Οδηγίας (ΕΕ) 2017/1132 (ΕΕ L 169/30.6.2017) και έχουν έδρα σε κράτος - μέλος της Ευρωπαϊκής Ένωσης (Ε.Ε.),</w:t>
      </w:r>
    </w:p>
    <w:p w:rsidR="005B0B46" w:rsidRPr="00D32247" w:rsidRDefault="005B0B46" w:rsidP="00D32247">
      <w:r w:rsidRPr="00D32247">
        <w:t xml:space="preserve"> ιγ. </w:t>
      </w:r>
      <w:r w:rsidRPr="00D32247">
        <w:tab/>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5B0B46" w:rsidRPr="00D32247" w:rsidRDefault="005B0B46" w:rsidP="00D32247">
      <w:r w:rsidRPr="00D32247">
        <w:t xml:space="preserve"> ιδ. </w:t>
      </w:r>
      <w:r w:rsidRPr="00D32247">
        <w:tab/>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5B0B46" w:rsidRPr="00D32247" w:rsidRDefault="005B0B46" w:rsidP="00D32247">
      <w:r w:rsidRPr="00D32247">
        <w:t xml:space="preserve"> ιε. </w:t>
      </w:r>
      <w:r w:rsidRPr="00D32247">
        <w:tab/>
        <w:t>η Κοινοπραξία που καταχωρίζεται σύμφωνα με το άρθρο 293 παράγραφος 3 του ν. 4072/2012</w:t>
      </w:r>
    </w:p>
  </w:footnote>
  <w:footnote w:id="81">
    <w:p w:rsidR="005B0B46" w:rsidRPr="00D32247" w:rsidRDefault="005B0B46" w:rsidP="00D32247">
      <w:r w:rsidRPr="00D32247">
        <w:footnoteRef/>
      </w:r>
      <w:r w:rsidRPr="00D32247">
        <w:t xml:space="preserve">  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5B0B46" w:rsidRPr="00D32247" w:rsidRDefault="005B0B46" w:rsidP="00D32247">
      <w:r w:rsidRPr="00D32247">
        <w:t xml:space="preserve">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82">
    <w:p w:rsidR="005B0B46" w:rsidRPr="00D32247" w:rsidRDefault="005B0B46" w:rsidP="00D32247">
      <w:r w:rsidRPr="00D32247">
        <w:rPr>
          <w:rFonts w:eastAsia="Wingdings"/>
        </w:rPr>
        <w:footnoteRef/>
      </w:r>
      <w:r w:rsidRPr="00D32247">
        <w:tab/>
        <w:t xml:space="preserve">Άρθρο 83 ν. 4412/2016. </w:t>
      </w:r>
    </w:p>
  </w:footnote>
  <w:footnote w:id="83">
    <w:p w:rsidR="005B0B46" w:rsidRPr="00D32247" w:rsidRDefault="005B0B46" w:rsidP="00D32247">
      <w:r w:rsidRPr="00D32247">
        <w:rPr>
          <w:rFonts w:eastAsia="Wingdings"/>
        </w:rPr>
        <w:footnoteRef/>
      </w:r>
      <w:r w:rsidRPr="00D32247">
        <w:tab/>
        <w:t>Άρθρο 86 ν. 4412/2016 και τυποποιημένο έντυπο 2 Παραρτήματος II (Προκήρυξη σύμβασης), παρ. II.2.5 Εκτελεστικού Κανονισμού (ΕΕ) 2015/1986 της Επιτροπής (L 296)</w:t>
      </w:r>
    </w:p>
  </w:footnote>
  <w:footnote w:id="84">
    <w:p w:rsidR="005B0B46" w:rsidRPr="00D32247" w:rsidRDefault="005B0B46" w:rsidP="00D32247">
      <w:r w:rsidRPr="00D32247">
        <w:rPr>
          <w:rFonts w:eastAsia="Wingdings"/>
        </w:rPr>
        <w:footnoteRef/>
      </w:r>
      <w:r w:rsidRPr="00D32247">
        <w:tab/>
        <w:t xml:space="preserve">Στην περίπτωση αυτή η πλέον συμφέρουσα από οικονομική άποψη προσφορά θα πρέπει να εκτιμάται βάσει της καλύτερης αναλογίας τιμής-ποιότητας, πράγμα το οποίο θα πρέπει να λαμβάνει στοιχεία αποτελεσματικότητας σε σχέση με την τιμή ή το κόστος. </w:t>
      </w:r>
      <w:proofErr w:type="spellStart"/>
      <w:r w:rsidRPr="00D32247">
        <w:t>Πρβλ</w:t>
      </w:r>
      <w:proofErr w:type="spellEnd"/>
      <w:r w:rsidRPr="00D32247">
        <w:t xml:space="preserve"> αιτιολογική έκθεση νόμου 4412/2016, άρθρο 86, σ. 23 και αιτιολογική σκέψη 92 Οδηγίας 2014/24/ΕΕ</w:t>
      </w:r>
    </w:p>
  </w:footnote>
  <w:footnote w:id="85">
    <w:p w:rsidR="005B0B46" w:rsidRPr="00D32247" w:rsidRDefault="005B0B46" w:rsidP="00D32247">
      <w:r w:rsidRPr="00D32247">
        <w:rPr>
          <w:rFonts w:eastAsia="Wingdings"/>
        </w:rPr>
        <w:footnoteRef/>
      </w:r>
      <w:r w:rsidRPr="00D32247">
        <w:tab/>
        <w:t>Άρθρο 86 παρ. 11, 13 και 16 ν. 4412/2016</w:t>
      </w:r>
    </w:p>
  </w:footnote>
  <w:footnote w:id="86">
    <w:p w:rsidR="005B0B46" w:rsidRPr="00D32247" w:rsidRDefault="005B0B46" w:rsidP="00D32247">
      <w:r w:rsidRPr="00D32247">
        <w:rPr>
          <w:rFonts w:eastAsia="Wingdings"/>
        </w:rPr>
        <w:footnoteRef/>
      </w:r>
      <w:r w:rsidRPr="00D32247">
        <w:tab/>
        <w:t>Η βαθμολόγηση πρέπει να είναι πλήρως και ειδικά αιτιολογημένη και να περιλαμβάνει υποχρεωτικά, εκτός από τη βαθμολογία, και την λεκτική διατύπωση της κρίσης ανά κριτήριο.</w:t>
      </w:r>
    </w:p>
  </w:footnote>
  <w:footnote w:id="87">
    <w:p w:rsidR="005B0B46" w:rsidRPr="00D32247" w:rsidRDefault="005B0B46" w:rsidP="00D32247">
      <w:r w:rsidRPr="00D32247">
        <w:rPr>
          <w:rFonts w:eastAsia="Wingdings"/>
        </w:rPr>
        <w:footnoteRef/>
      </w:r>
      <w:r w:rsidRPr="00D32247">
        <w:tab/>
        <w:t>Άρθρο 96, παρ. 7 του ν. 4412/2016.</w:t>
      </w:r>
    </w:p>
  </w:footnote>
  <w:footnote w:id="88">
    <w:p w:rsidR="005B0B46" w:rsidRPr="00D32247" w:rsidRDefault="005B0B46" w:rsidP="00D32247">
      <w:r w:rsidRPr="00D32247">
        <w:footnoteRef/>
      </w:r>
      <w:r w:rsidRPr="00D32247">
        <w:tab/>
        <w:t>Άρθρο 15 ΚΥΑ ΕΣΗΔΗΣ Προμήθειες και Υπηρεσίες</w:t>
      </w:r>
    </w:p>
  </w:footnote>
  <w:footnote w:id="89">
    <w:p w:rsidR="005B0B46" w:rsidRPr="00D32247" w:rsidRDefault="005B0B46" w:rsidP="00D32247">
      <w:r w:rsidRPr="00D32247">
        <w:rPr>
          <w:rFonts w:eastAsia="Wingdings"/>
        </w:rPr>
        <w:footnoteRef/>
      </w:r>
      <w:r w:rsidRPr="00D32247">
        <w:tab/>
        <w:t>Άρθρο 37 παρ. 4 του ν. 4412/2016 και άρθρο 4 παρ. 2 Κ.Υ.Α. ΕΣΗΔΗΣ Προμήθειες και- Υπηρεσίες.</w:t>
      </w:r>
    </w:p>
  </w:footnote>
  <w:footnote w:id="90">
    <w:p w:rsidR="005B0B46" w:rsidRPr="00D32247" w:rsidRDefault="005B0B46" w:rsidP="00D32247">
      <w:r w:rsidRPr="00D32247">
        <w:footnoteRef/>
      </w:r>
      <w:r w:rsidRPr="00D32247">
        <w:tab/>
        <w:t>Άρθρο 13 παρ. 1.4 και 1.5 της Κ.Υ.Α. ΕΣΗΔΗΣ Προμήθειες και Υπηρεσίες</w:t>
      </w:r>
    </w:p>
  </w:footnote>
  <w:footnote w:id="91">
    <w:p w:rsidR="005B0B46" w:rsidRPr="00D32247" w:rsidRDefault="005B0B46" w:rsidP="00D32247">
      <w:r w:rsidRPr="00D32247">
        <w:footnoteRef/>
      </w:r>
      <w:r w:rsidRPr="00D32247">
        <w:t xml:space="preserve">  </w:t>
      </w:r>
      <w:r w:rsidRPr="00D32247">
        <w:tab/>
        <w:t>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D32247">
        <w:t>Dilos</w:t>
      </w:r>
      <w:proofErr w:type="spellEnd"/>
      <w:r w:rsidRPr="00D32247">
        <w:t xml:space="preserve">i».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D32247">
        <w:t>αυθεντικοποίηση</w:t>
      </w:r>
      <w:proofErr w:type="spellEnd"/>
      <w:r w:rsidRPr="00D32247">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92">
    <w:p w:rsidR="005B0B46" w:rsidRPr="00D32247" w:rsidRDefault="005B0B46" w:rsidP="00D32247">
      <w:r w:rsidRPr="00D32247">
        <w:footnoteRef/>
      </w:r>
      <w:r w:rsidRPr="00D32247">
        <w:tab/>
        <w:t xml:space="preserve">Ομοίως προβλέπεται και στην περίπτωση υποβολής αποδεικτικών στοιχείων σύμφωνα με το άρθρο 80 παρ. 13 του ν.4412/2016 . </w:t>
      </w:r>
      <w:proofErr w:type="spellStart"/>
      <w:r w:rsidRPr="00D32247">
        <w:t>Πρβλ</w:t>
      </w:r>
      <w:proofErr w:type="spellEnd"/>
      <w:r w:rsidRPr="00D32247">
        <w:t xml:space="preserve"> και άρθρο 13 παρ. 1.3.1 της Κ.Υ.Α. ΕΣΗΔΗΣ Προμήθειες και Υπηρεσίες</w:t>
      </w:r>
    </w:p>
  </w:footnote>
  <w:footnote w:id="93">
    <w:p w:rsidR="005B0B46" w:rsidRPr="00D32247" w:rsidRDefault="005B0B46" w:rsidP="00D32247">
      <w:r w:rsidRPr="00D32247">
        <w:footnoteRef/>
      </w:r>
      <w:r w:rsidRPr="00D32247">
        <w:tab/>
        <w:t xml:space="preserve">Σύμφωνα με την </w:t>
      </w:r>
      <w:proofErr w:type="spellStart"/>
      <w:r w:rsidRPr="00D32247">
        <w:t>περ</w:t>
      </w:r>
      <w:proofErr w:type="spellEnd"/>
      <w:r w:rsidRPr="00D32247">
        <w:t>.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94">
    <w:p w:rsidR="005B0B46" w:rsidRPr="00D32247" w:rsidRDefault="005B0B46" w:rsidP="00D32247">
      <w:r w:rsidRPr="00D32247">
        <w:footnoteRef/>
      </w:r>
      <w:r w:rsidRPr="00D32247">
        <w:tab/>
        <w:t>Ενδεικτικά συμβολαιογραφικές ένορκες βεβαιώσεις ή λοιπά συμβολαιογραφικά έγγραφα</w:t>
      </w:r>
    </w:p>
  </w:footnote>
  <w:footnote w:id="95">
    <w:p w:rsidR="005B0B46" w:rsidRPr="00D32247" w:rsidRDefault="005B0B46" w:rsidP="00D32247">
      <w:r w:rsidRPr="00D32247">
        <w:footnoteRef/>
      </w:r>
      <w:r w:rsidRPr="00D32247">
        <w:t xml:space="preserve">  </w:t>
      </w:r>
      <w:r w:rsidRPr="00D32247">
        <w:tab/>
        <w:t>Άρθρο 13 παρ. 1.6 της Κ.Υ.Α. ΕΣΗΔΗΣ Προμήθειες και Υπηρεσίες</w:t>
      </w:r>
    </w:p>
  </w:footnote>
  <w:footnote w:id="96">
    <w:p w:rsidR="005B0B46" w:rsidRPr="00D32247" w:rsidRDefault="005B0B46" w:rsidP="00D32247">
      <w:r w:rsidRPr="00D32247">
        <w:rPr>
          <w:rFonts w:eastAsia="Wingdings"/>
        </w:rPr>
        <w:footnoteRef/>
      </w:r>
      <w:r w:rsidRPr="00D32247">
        <w:tab/>
        <w:t>Βλ. άρθρο 93  του ν. 4412/2016</w:t>
      </w:r>
    </w:p>
  </w:footnote>
  <w:footnote w:id="97">
    <w:p w:rsidR="005B0B46" w:rsidRPr="00D32247" w:rsidRDefault="005B0B46" w:rsidP="00D32247">
      <w:r w:rsidRPr="00D32247">
        <w:rPr>
          <w:rFonts w:eastAsia="Wingdings"/>
        </w:rPr>
        <w:footnoteRef/>
      </w:r>
      <w:r w:rsidRPr="00D32247">
        <w:tab/>
        <w:t>Άρθρο 94 του ν. 4412/2016</w:t>
      </w:r>
    </w:p>
  </w:footnote>
  <w:footnote w:id="98">
    <w:p w:rsidR="005B0B46" w:rsidRPr="00D32247" w:rsidRDefault="005B0B46" w:rsidP="00D32247">
      <w:r w:rsidRPr="00D32247">
        <w:rPr>
          <w:rFonts w:eastAsia="Wingdings"/>
        </w:rPr>
        <w:footnoteRef/>
      </w:r>
      <w:r w:rsidRPr="00D32247">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99">
    <w:p w:rsidR="005B0B46" w:rsidRPr="00D32247" w:rsidRDefault="005B0B46" w:rsidP="00D32247">
      <w:r w:rsidRPr="00D32247">
        <w:rPr>
          <w:rFonts w:eastAsia="Wingdings"/>
        </w:rPr>
        <w:footnoteRef/>
      </w:r>
      <w:r w:rsidRPr="00D32247">
        <w:tab/>
        <w:t>Άρθρο 58 του ν. 4412/2016.</w:t>
      </w:r>
    </w:p>
  </w:footnote>
  <w:footnote w:id="100">
    <w:p w:rsidR="005B0B46" w:rsidRPr="00D32247" w:rsidRDefault="005B0B46" w:rsidP="00D32247">
      <w:r w:rsidRPr="00D32247">
        <w:rPr>
          <w:rFonts w:eastAsia="Wingdings"/>
        </w:rPr>
        <w:footnoteRef/>
      </w:r>
      <w:r w:rsidRPr="00D32247">
        <w:tab/>
        <w:t>Άρθρο 97 ν. 4412/2016</w:t>
      </w:r>
    </w:p>
  </w:footnote>
  <w:footnote w:id="101">
    <w:p w:rsidR="005B0B46" w:rsidRPr="00D32247" w:rsidRDefault="005B0B46" w:rsidP="00D32247">
      <w:r w:rsidRPr="00D32247">
        <w:rPr>
          <w:rFonts w:eastAsia="Wingdings"/>
        </w:rPr>
        <w:footnoteRef/>
      </w:r>
      <w:r w:rsidRPr="00D32247">
        <w:tab/>
        <w:t>Άρθρο 91 του ν. 4412/2016</w:t>
      </w:r>
    </w:p>
  </w:footnote>
  <w:footnote w:id="102">
    <w:p w:rsidR="005B0B46" w:rsidRPr="00D32247" w:rsidRDefault="005B0B46" w:rsidP="00D32247">
      <w:r w:rsidRPr="00D32247">
        <w:rPr>
          <w:rFonts w:eastAsia="Wingdings"/>
        </w:rPr>
        <w:footnoteRef/>
      </w:r>
      <w:r w:rsidRPr="00D32247">
        <w:tab/>
        <w:t>Άρθρα 92 έως 97, άρθρο 100 καθώς και άρθρα 102 έως 104 του ν. 4412/16</w:t>
      </w:r>
    </w:p>
  </w:footnote>
  <w:footnote w:id="103">
    <w:p w:rsidR="005B0B46" w:rsidRPr="00D32247" w:rsidRDefault="005B0B46" w:rsidP="00D32247">
      <w:r w:rsidRPr="00D32247">
        <w:rPr>
          <w:rFonts w:eastAsia="Wingdings"/>
        </w:rPr>
        <w:footnoteRef/>
      </w:r>
      <w:r w:rsidRPr="00D32247">
        <w:tab/>
        <w:t xml:space="preserve">Άρθρο 100 ν. 4412/2016 και άρθρο 16 ΚΥΑ ΕΣΗΔΗΣ Προμήθειες και Υπηρεσίες </w:t>
      </w:r>
    </w:p>
  </w:footnote>
  <w:footnote w:id="104">
    <w:p w:rsidR="005B0B46" w:rsidRPr="00D32247" w:rsidRDefault="005B0B46" w:rsidP="00D32247">
      <w:r w:rsidRPr="00D32247">
        <w:rPr>
          <w:rFonts w:eastAsia="Wingdings"/>
        </w:rPr>
        <w:footnoteRef/>
      </w:r>
      <w:r w:rsidRPr="00D32247">
        <w:tab/>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105">
    <w:p w:rsidR="005B0B46" w:rsidRPr="00D32247" w:rsidRDefault="005B0B46" w:rsidP="00D32247">
      <w:r w:rsidRPr="00D32247">
        <w:footnoteRef/>
      </w:r>
      <w:r w:rsidRPr="00D32247">
        <w:tab/>
        <w:t>Άρθρο 16 παρ. 1 και 2 Κ.Υ.Α. ΕΣΗΔΗΣ Προμήθειες και Υπηρεσίες</w:t>
      </w:r>
    </w:p>
  </w:footnote>
  <w:footnote w:id="106">
    <w:p w:rsidR="005B0B46" w:rsidRPr="00D32247" w:rsidRDefault="005B0B46" w:rsidP="00D32247">
      <w:r w:rsidRPr="00D32247">
        <w:footnoteRef/>
      </w:r>
      <w:r w:rsidRPr="00D32247">
        <w:tab/>
        <w:t xml:space="preserve">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 </w:t>
      </w:r>
    </w:p>
  </w:footnote>
  <w:footnote w:id="107">
    <w:p w:rsidR="005B0B46" w:rsidRPr="00D32247" w:rsidRDefault="005B0B46" w:rsidP="00D32247">
      <w:r w:rsidRPr="00D32247">
        <w:footnoteRef/>
      </w:r>
      <w:r w:rsidRPr="00D32247">
        <w:tab/>
        <w:t xml:space="preserve">Άρθρο 102 του ν. 4412/2016. </w:t>
      </w:r>
      <w:proofErr w:type="spellStart"/>
      <w:r w:rsidRPr="00D32247">
        <w:t>Πρβλ</w:t>
      </w:r>
      <w:proofErr w:type="spellEnd"/>
      <w:r w:rsidRPr="00D32247">
        <w:t xml:space="preserve"> και  έκθεση συνεπειών ρυθμίσεων επί του άρθρου 42 ν. 4781/2021 </w:t>
      </w:r>
    </w:p>
  </w:footnote>
  <w:footnote w:id="108">
    <w:p w:rsidR="005B0B46" w:rsidRPr="00D32247" w:rsidRDefault="005B0B46" w:rsidP="00D32247">
      <w:r w:rsidRPr="00D32247">
        <w:rPr>
          <w:rFonts w:eastAsia="Wingdings"/>
        </w:rPr>
        <w:footnoteRef/>
      </w:r>
      <w:r w:rsidRPr="00D32247">
        <w:tab/>
        <w:t>Άρθρο 90 παρ. 2 και 4 του ν. 4412/2016.</w:t>
      </w:r>
    </w:p>
  </w:footnote>
  <w:footnote w:id="109">
    <w:p w:rsidR="005B0B46" w:rsidRPr="00D32247" w:rsidRDefault="005B0B46" w:rsidP="00D32247">
      <w:r w:rsidRPr="00D32247">
        <w:footnoteRef/>
      </w:r>
      <w:r w:rsidRPr="00D32247">
        <w:t xml:space="preserve"> </w:t>
      </w:r>
      <w:r w:rsidRPr="00D32247">
        <w:tab/>
        <w:t>Άρθρο 100, παρ. 5 του ν. 4412/2016</w:t>
      </w:r>
    </w:p>
  </w:footnote>
  <w:footnote w:id="110">
    <w:p w:rsidR="005B0B46" w:rsidRPr="00D32247" w:rsidRDefault="005B0B46" w:rsidP="00D32247">
      <w:r w:rsidRPr="00D32247">
        <w:footnoteRef/>
      </w:r>
      <w:r w:rsidRPr="00D32247">
        <w:tab/>
        <w:t xml:space="preserve">Άρθρο 100, παρ. 6 του ν. 4412/2016 </w:t>
      </w:r>
    </w:p>
  </w:footnote>
  <w:footnote w:id="111">
    <w:p w:rsidR="005B0B46" w:rsidRPr="00D32247" w:rsidRDefault="005B0B46" w:rsidP="00D32247">
      <w:r w:rsidRPr="00D32247">
        <w:footnoteRef/>
      </w:r>
      <w:r w:rsidRPr="00D32247">
        <w:tab/>
        <w:t xml:space="preserve">Άρθρο 103 του ν. 4412/2016 </w:t>
      </w:r>
    </w:p>
  </w:footnote>
  <w:footnote w:id="112">
    <w:p w:rsidR="005B0B46" w:rsidRPr="00D32247" w:rsidRDefault="005B0B46" w:rsidP="00D32247">
      <w:r w:rsidRPr="00D32247">
        <w:footnoteRef/>
      </w:r>
      <w:r w:rsidRPr="00D32247">
        <w:tab/>
      </w:r>
      <w:proofErr w:type="spellStart"/>
      <w:r w:rsidRPr="00D32247">
        <w:t>Πρβλ</w:t>
      </w:r>
      <w:proofErr w:type="spellEnd"/>
      <w:r w:rsidRPr="00D32247">
        <w:t xml:space="preserve"> άρθρο 17 ΚΥΑ ΕΣΗΔΗΣ Προμήθειες και Υπηρεσίες</w:t>
      </w:r>
    </w:p>
  </w:footnote>
  <w:footnote w:id="113">
    <w:p w:rsidR="005B0B46" w:rsidRPr="00D32247" w:rsidRDefault="005B0B46" w:rsidP="00D32247">
      <w:r w:rsidRPr="00D32247">
        <w:rPr>
          <w:rFonts w:eastAsia="Wingdings"/>
        </w:rPr>
        <w:footnoteRef/>
      </w:r>
      <w:r w:rsidRPr="00D32247">
        <w:tab/>
        <w:t>Άρθρο 104 παρ. 2 και 3 του ν. 4412/2016</w:t>
      </w:r>
    </w:p>
  </w:footnote>
  <w:footnote w:id="114">
    <w:p w:rsidR="005B0B46" w:rsidRPr="00D32247" w:rsidRDefault="005B0B46" w:rsidP="00D32247">
      <w:r w:rsidRPr="00D32247">
        <w:footnoteRef/>
      </w:r>
      <w:r w:rsidRPr="00D32247">
        <w:tab/>
        <w:t>Άρθρο 105 του ν. 4412/2016</w:t>
      </w:r>
    </w:p>
  </w:footnote>
  <w:footnote w:id="115">
    <w:p w:rsidR="005B0B46" w:rsidRPr="00D32247" w:rsidRDefault="005B0B46" w:rsidP="00D32247">
      <w:r w:rsidRPr="00D32247">
        <w:footnoteRef/>
      </w:r>
      <w:r w:rsidRPr="00D32247">
        <w:tab/>
      </w:r>
      <w:proofErr w:type="spellStart"/>
      <w:r w:rsidRPr="00D32247">
        <w:t>Πρβλ</w:t>
      </w:r>
      <w:proofErr w:type="spellEnd"/>
      <w:r w:rsidRPr="00D32247">
        <w:t xml:space="preserve"> άρθρο 16 παρ. 3 ΚΥΑ ΕΣΗΔΗΣ Προμήθειες και Υπηρεσίες</w:t>
      </w:r>
    </w:p>
  </w:footnote>
  <w:footnote w:id="116">
    <w:p w:rsidR="005B0B46" w:rsidRPr="00D32247" w:rsidRDefault="005B0B46" w:rsidP="00D32247">
      <w:r w:rsidRPr="00D32247">
        <w:rPr>
          <w:rFonts w:eastAsia="OpenSymbol"/>
        </w:rPr>
        <w:footnoteRef/>
      </w:r>
      <w:r w:rsidRPr="00D32247">
        <w:tab/>
        <w:t>Άρθρο 100 παρ. 5 του ν. 4412/2016</w:t>
      </w:r>
    </w:p>
  </w:footnote>
  <w:footnote w:id="117">
    <w:p w:rsidR="005B0B46" w:rsidRPr="00D32247" w:rsidRDefault="005B0B46" w:rsidP="00D32247">
      <w:r w:rsidRPr="00D32247">
        <w:footnoteRef/>
      </w:r>
      <w:r w:rsidRPr="00D32247">
        <w:t xml:space="preserve"> </w:t>
      </w:r>
      <w:proofErr w:type="spellStart"/>
      <w:r w:rsidRPr="00D32247">
        <w:t>Πρβλ</w:t>
      </w:r>
      <w:proofErr w:type="spellEnd"/>
      <w:r w:rsidRPr="00D32247">
        <w:t xml:space="preserve">. άρθρο 372 παρ. 3 ν. 4412/2016, σύμφωνα με το  οποίο: «Αρμόδιο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 Κατά συνέπεια, με βάση την εκτιμώμενη αξία εκάστης σύμβασης, η </w:t>
      </w:r>
      <w:proofErr w:type="spellStart"/>
      <w:r w:rsidRPr="00D32247">
        <w:t>α.α</w:t>
      </w:r>
      <w:proofErr w:type="spellEnd"/>
      <w:r w:rsidRPr="00D32247">
        <w:t xml:space="preserve">. συμπληρώνει στο παρόν άρθρο της Διακήρυξης,  το αρμόδιο, ανά περίπτωση, Δικαστήριο, ήτοι το Διοικητικό Εφετείο ή το Συμβούλιο της Επικρατείας αναλόγως. </w:t>
      </w:r>
    </w:p>
    <w:p w:rsidR="005B0B46" w:rsidRPr="00D32247" w:rsidRDefault="005B0B46" w:rsidP="00D32247"/>
  </w:footnote>
  <w:footnote w:id="118">
    <w:p w:rsidR="005B0B46" w:rsidRPr="00D32247" w:rsidRDefault="005B0B46" w:rsidP="00D32247">
      <w:r w:rsidRPr="00D32247">
        <w:footnoteRef/>
      </w:r>
      <w:r w:rsidRPr="00D32247">
        <w:t xml:space="preserve"> </w:t>
      </w:r>
      <w:proofErr w:type="spellStart"/>
      <w:r w:rsidRPr="00D32247">
        <w:t>Πρβλ</w:t>
      </w:r>
      <w:proofErr w:type="spellEnd"/>
      <w:r w:rsidRPr="00D32247">
        <w:t>. άρθρο 372 παρ. 1 και 2 Ν. 4412/2016.</w:t>
      </w:r>
    </w:p>
  </w:footnote>
  <w:footnote w:id="119">
    <w:p w:rsidR="005B0B46" w:rsidRPr="00D32247" w:rsidRDefault="005B0B46" w:rsidP="00D32247">
      <w:r w:rsidRPr="00D32247">
        <w:footnoteRef/>
      </w:r>
      <w:r w:rsidRPr="00D32247">
        <w:t xml:space="preserve"> </w:t>
      </w:r>
      <w:proofErr w:type="spellStart"/>
      <w:r w:rsidRPr="00D32247">
        <w:t>Πρβλ</w:t>
      </w:r>
      <w:proofErr w:type="spellEnd"/>
      <w:r w:rsidRPr="00D32247">
        <w:t>. άρθρο 372 παρ. 4 του ν. 4412/2016.</w:t>
      </w:r>
    </w:p>
  </w:footnote>
  <w:footnote w:id="120">
    <w:p w:rsidR="005B0B46" w:rsidRPr="00D32247" w:rsidRDefault="005B0B46" w:rsidP="00D32247">
      <w:r w:rsidRPr="00D32247">
        <w:footnoteRef/>
      </w:r>
      <w:r w:rsidRPr="00D32247">
        <w:t xml:space="preserve"> </w:t>
      </w:r>
      <w:proofErr w:type="spellStart"/>
      <w:r w:rsidRPr="00D32247">
        <w:t>Πρβλ</w:t>
      </w:r>
      <w:proofErr w:type="spellEnd"/>
      <w:r w:rsidRPr="00D32247">
        <w:t xml:space="preserve"> άρθρο 372 παρ. 6 του ν. 4412/2016.</w:t>
      </w:r>
    </w:p>
  </w:footnote>
  <w:footnote w:id="121">
    <w:p w:rsidR="005B0B46" w:rsidRPr="00D32247" w:rsidRDefault="005B0B46" w:rsidP="00D32247">
      <w:r w:rsidRPr="00D32247">
        <w:rPr>
          <w:rFonts w:eastAsia="Wingdings"/>
        </w:rPr>
        <w:footnoteRef/>
      </w:r>
      <w:r w:rsidRPr="00D32247">
        <w:tab/>
        <w:t>Άρθρο 130 ν.4412/2016</w:t>
      </w:r>
    </w:p>
  </w:footnote>
  <w:footnote w:id="122">
    <w:p w:rsidR="005B0B46" w:rsidRPr="00D32247" w:rsidRDefault="005B0B46" w:rsidP="00D32247">
      <w:r w:rsidRPr="00D32247">
        <w:rPr>
          <w:rFonts w:eastAsia="Wingdings"/>
        </w:rPr>
        <w:footnoteRef/>
      </w:r>
      <w:r w:rsidRPr="00D32247">
        <w:tab/>
      </w:r>
      <w:proofErr w:type="spellStart"/>
      <w:r w:rsidRPr="00D32247">
        <w:t>Πρβλ</w:t>
      </w:r>
      <w:proofErr w:type="spellEnd"/>
      <w:r w:rsidRPr="00D32247">
        <w:t xml:space="preserve"> παρ. 2 του άρθρου 78 του ν. 4412/2016</w:t>
      </w:r>
    </w:p>
  </w:footnote>
  <w:footnote w:id="123">
    <w:p w:rsidR="005B0B46" w:rsidRPr="00D32247" w:rsidRDefault="005B0B46" w:rsidP="00D32247">
      <w:r w:rsidRPr="00D32247">
        <w:rPr>
          <w:rFonts w:eastAsia="Wingdings"/>
        </w:rPr>
        <w:footnoteRef/>
      </w:r>
      <w:r w:rsidRPr="00D32247">
        <w:tab/>
        <w:t xml:space="preserve"> </w:t>
      </w:r>
      <w:proofErr w:type="spellStart"/>
      <w:r w:rsidRPr="00D32247">
        <w:t>Πρβλ</w:t>
      </w:r>
      <w:proofErr w:type="spellEnd"/>
      <w:r w:rsidRPr="00D32247">
        <w:t>. άρθρο 132 του ν. 4412/2016</w:t>
      </w:r>
    </w:p>
  </w:footnote>
  <w:footnote w:id="124">
    <w:p w:rsidR="005B0B46" w:rsidRPr="00D32247" w:rsidRDefault="005B0B46" w:rsidP="00D32247">
      <w:r w:rsidRPr="00D32247">
        <w:rPr>
          <w:rFonts w:eastAsia="Wingdings"/>
        </w:rPr>
        <w:footnoteRef/>
      </w:r>
      <w:r w:rsidRPr="00D32247">
        <w:tab/>
      </w:r>
      <w:proofErr w:type="spellStart"/>
      <w:r w:rsidRPr="00D32247">
        <w:t>Πρβλ</w:t>
      </w:r>
      <w:proofErr w:type="spellEnd"/>
      <w:r w:rsidRPr="00D32247">
        <w:t>. άρθρο 201 ν. 4412/2016, σε συνδυασμό με την περίπτωση στ της παρ. 11 του </w:t>
      </w:r>
      <w:hyperlink r:id="rId5" w:history="1">
        <w:r w:rsidRPr="00D32247">
          <w:t>άρθρου 221</w:t>
        </w:r>
      </w:hyperlink>
      <w:r w:rsidRPr="00D32247">
        <w:t xml:space="preserve">. Ειδικά για την περίπτωση των Κεντρικών Αρχών Αγορών, για ζητήματα τροποποίησης συμφωνιών - πλαίσιο και συμβάσεων κεντρικών </w:t>
      </w:r>
      <w:proofErr w:type="spellStart"/>
      <w:r w:rsidRPr="00D32247">
        <w:t>προμήθειών</w:t>
      </w:r>
      <w:proofErr w:type="spellEnd"/>
      <w:r w:rsidRPr="00D32247">
        <w:t xml:space="preserve"> που συνάπτονται από αυτές, γνωμοδοτεί η επιτροπή της </w:t>
      </w:r>
      <w:proofErr w:type="spellStart"/>
      <w:r w:rsidRPr="00D32247">
        <w:t>περ</w:t>
      </w:r>
      <w:proofErr w:type="spellEnd"/>
      <w:r w:rsidRPr="00D32247">
        <w:t>. α’ της παρ. 11 του άρθρου 221 ((επιτροπή διενέργειας/επιτροπή αξιολόγησης)</w:t>
      </w:r>
    </w:p>
  </w:footnote>
  <w:footnote w:id="125">
    <w:p w:rsidR="005B0B46" w:rsidRPr="00D32247" w:rsidRDefault="005B0B46" w:rsidP="00D32247">
      <w:r w:rsidRPr="00D32247">
        <w:rPr>
          <w:rFonts w:eastAsia="Wingdings"/>
        </w:rPr>
        <w:footnoteRef/>
      </w:r>
      <w:r w:rsidRPr="00D32247">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sidRPr="00D32247">
        <w:t>Πρβλ</w:t>
      </w:r>
      <w:proofErr w:type="spellEnd"/>
      <w:r w:rsidRPr="00D32247">
        <w:t>. άρθρο 132 παρ. 1 α του ν. 4412/2016).</w:t>
      </w:r>
    </w:p>
  </w:footnote>
  <w:footnote w:id="126">
    <w:p w:rsidR="005B0B46" w:rsidRPr="00D32247" w:rsidRDefault="005B0B46" w:rsidP="00D32247">
      <w:r w:rsidRPr="00D32247">
        <w:footnoteRef/>
      </w:r>
      <w:r w:rsidRPr="00D32247">
        <w:t xml:space="preserve">      Βλ. ιδίως την </w:t>
      </w:r>
      <w:proofErr w:type="spellStart"/>
      <w:r w:rsidRPr="00D32247">
        <w:t>περ</w:t>
      </w:r>
      <w:proofErr w:type="spellEnd"/>
      <w:r w:rsidRPr="00D32247">
        <w:t>. γ της παρ.4  του άρθρου 203 του ν. 4412/2016</w:t>
      </w:r>
    </w:p>
  </w:footnote>
  <w:footnote w:id="127">
    <w:p w:rsidR="005B0B46" w:rsidRPr="00D32247" w:rsidRDefault="005B0B46" w:rsidP="00D32247">
      <w:r w:rsidRPr="00D32247">
        <w:footnoteRef/>
      </w:r>
      <w:r w:rsidRPr="00D32247">
        <w:t xml:space="preserve">      Άρθρο 132, παρ. 1δ), </w:t>
      </w:r>
      <w:proofErr w:type="spellStart"/>
      <w:r w:rsidRPr="00D32247">
        <w:t>περ</w:t>
      </w:r>
      <w:proofErr w:type="spellEnd"/>
      <w:r w:rsidRPr="00D32247">
        <w:t xml:space="preserve">. αα του ν. 4412/2016. </w:t>
      </w:r>
    </w:p>
    <w:p w:rsidR="005B0B46" w:rsidRPr="00D32247" w:rsidRDefault="005B0B46" w:rsidP="00D32247">
      <w:r w:rsidRPr="00D32247">
        <w:tab/>
        <w:t xml:space="preserve"> </w:t>
      </w:r>
      <w:proofErr w:type="spellStart"/>
      <w:r w:rsidRPr="00D32247">
        <w:t>Πρβλ</w:t>
      </w:r>
      <w:proofErr w:type="spellEnd"/>
      <w:r w:rsidRPr="00D32247">
        <w:t xml:space="preserve">.,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28">
    <w:p w:rsidR="005B0B46" w:rsidRPr="00D32247" w:rsidRDefault="005B0B46" w:rsidP="00D32247">
      <w:r w:rsidRPr="00D32247">
        <w:footnoteRef/>
      </w:r>
      <w:r w:rsidRPr="00D32247">
        <w:tab/>
        <w:t>Άρθρο 133 του ν. 4412/2016 Δικαίωμα μονομερούς λύσης της σύμβασης</w:t>
      </w:r>
    </w:p>
  </w:footnote>
  <w:footnote w:id="129">
    <w:p w:rsidR="005B0B46" w:rsidRPr="00D32247" w:rsidRDefault="005B0B46" w:rsidP="00D32247">
      <w:r w:rsidRPr="00D32247">
        <w:footnoteRef/>
      </w:r>
      <w:r w:rsidRPr="00D32247">
        <w:t xml:space="preserve">     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w:t>
      </w:r>
      <w:proofErr w:type="spellStart"/>
      <w:r w:rsidRPr="00D32247">
        <w:t>κατ΄εξουσιοδότηση</w:t>
      </w:r>
      <w:proofErr w:type="spellEnd"/>
      <w:r w:rsidRPr="00D32247">
        <w:t xml:space="preserve"> του άρθρου 154 του νόμου αυτού, κανονιστικών αποφάσεων. </w:t>
      </w:r>
    </w:p>
  </w:footnote>
  <w:footnote w:id="130">
    <w:p w:rsidR="005B0B46" w:rsidRPr="00D32247" w:rsidRDefault="005B0B46" w:rsidP="00D32247">
      <w:r w:rsidRPr="00D32247">
        <w:rPr>
          <w:rFonts w:eastAsia="Wingdings"/>
        </w:rPr>
        <w:footnoteRef/>
      </w:r>
      <w:r w:rsidRPr="00D32247">
        <w:tab/>
        <w:t xml:space="preserve">Άρθρο 200 παρ. 4 του ν. 4412/2016, όπως τροποποιήθηκε με το άρθρο 102 του ν. 4782/2021. </w:t>
      </w:r>
    </w:p>
  </w:footnote>
  <w:footnote w:id="131">
    <w:p w:rsidR="005B0B46" w:rsidRPr="00D32247" w:rsidRDefault="005B0B46" w:rsidP="00D32247">
      <w:r w:rsidRPr="00D32247">
        <w:rPr>
          <w:rFonts w:eastAsia="Wingdings"/>
        </w:rPr>
        <w:footnoteRef/>
      </w:r>
      <w:r w:rsidRPr="00D32247">
        <w:tab/>
        <w:t>Βλ. Απόφαση 2/51557/0026/10-09-01 ΦΕΚ 1209/Β/01 Υπ. Οικονομικών, στο βαθμό που η Α.Α. υπάγεται στο πεδίο εφαρμογής της.</w:t>
      </w:r>
    </w:p>
  </w:footnote>
  <w:footnote w:id="132">
    <w:p w:rsidR="005B0B46" w:rsidRPr="00D32247" w:rsidRDefault="005B0B46" w:rsidP="00D32247">
      <w:r w:rsidRPr="00D32247">
        <w:rPr>
          <w:rFonts w:eastAsia="Wingdings"/>
        </w:rPr>
        <w:footnoteRef/>
      </w:r>
      <w:r w:rsidRPr="00D32247">
        <w:tab/>
        <w:t xml:space="preserve">Η απόσβεση της προκαταβολής και η επιστροφή της εγγύησης προκαταβολής πραγματοποιούνται σύμφωνα με τις διατάξεις του άρθρου 72 του ν. 4412/2016 και τον τρόπο που ορίζει η Α.Α. </w:t>
      </w:r>
    </w:p>
  </w:footnote>
  <w:footnote w:id="133">
    <w:p w:rsidR="005B0B46" w:rsidRPr="00D32247" w:rsidRDefault="005B0B46" w:rsidP="00D32247">
      <w:r w:rsidRPr="00D32247">
        <w:rPr>
          <w:rFonts w:eastAsia="Wingdings"/>
        </w:rPr>
        <w:footnoteRef/>
      </w:r>
      <w:r w:rsidRPr="00D32247">
        <w:tab/>
        <w:t>Άρθρο 4 παρ. 3 έβδομο εδάφιο του ν. 4013/2011.</w:t>
      </w:r>
    </w:p>
  </w:footnote>
  <w:footnote w:id="134">
    <w:p w:rsidR="005B0B46" w:rsidRPr="00D32247" w:rsidRDefault="005B0B46" w:rsidP="00D32247">
      <w:r w:rsidRPr="00D32247">
        <w:rPr>
          <w:rFonts w:eastAsia="Wingdings"/>
        </w:rPr>
        <w:footnoteRef/>
      </w:r>
      <w:r w:rsidRPr="00D32247">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p>
  </w:footnote>
  <w:footnote w:id="135">
    <w:p w:rsidR="005B0B46" w:rsidRPr="00D32247" w:rsidRDefault="005B0B46" w:rsidP="00D32247">
      <w:r w:rsidRPr="00D32247">
        <w:rPr>
          <w:rFonts w:eastAsia="Wingdings"/>
        </w:rPr>
        <w:footnoteRef/>
      </w:r>
      <w:r w:rsidRPr="00D32247">
        <w:tab/>
        <w:t xml:space="preserve">Άρθρο 203 του ν. 4412/2016 </w:t>
      </w:r>
    </w:p>
  </w:footnote>
  <w:footnote w:id="136">
    <w:p w:rsidR="005B0B46" w:rsidRPr="00D32247" w:rsidRDefault="005B0B46" w:rsidP="00D32247">
      <w:r w:rsidRPr="00D32247">
        <w:tab/>
        <w:t xml:space="preserve"> </w:t>
      </w:r>
    </w:p>
  </w:footnote>
  <w:footnote w:id="137">
    <w:p w:rsidR="005B0B46" w:rsidRPr="00D32247" w:rsidRDefault="005B0B46" w:rsidP="00D32247">
      <w:r w:rsidRPr="00D32247">
        <w:rPr>
          <w:rFonts w:eastAsia="Wingdings"/>
        </w:rPr>
        <w:footnoteRef/>
      </w:r>
      <w:r w:rsidRPr="00D32247">
        <w:tab/>
        <w:t>Άρθρο 207 του ν. 4412/2016.</w:t>
      </w:r>
    </w:p>
  </w:footnote>
  <w:footnote w:id="138">
    <w:p w:rsidR="005B0B46" w:rsidRPr="00D32247" w:rsidRDefault="005B0B46" w:rsidP="00D32247">
      <w:r w:rsidRPr="00D32247">
        <w:rPr>
          <w:rFonts w:eastAsia="Wingdings"/>
        </w:rPr>
        <w:footnoteRef/>
      </w:r>
      <w:r w:rsidRPr="00D32247">
        <w:tab/>
        <w:t>Άρθρο 205 του ν. 4412/2016. Για την εξέταση των προβλεπόμενων προσφυγών, συγκροτείται ειδικό γνωμοδοτικό όργανο, τριμελές ή πενταμελές), 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w:t>
      </w:r>
    </w:p>
  </w:footnote>
  <w:footnote w:id="139">
    <w:p w:rsidR="005B0B46" w:rsidRPr="00D32247" w:rsidRDefault="005B0B46" w:rsidP="00D32247">
      <w:r w:rsidRPr="00D32247">
        <w:rPr>
          <w:rFonts w:eastAsia="Wingdings"/>
        </w:rPr>
        <w:footnoteRef/>
      </w:r>
      <w:r w:rsidRPr="00D32247">
        <w:tab/>
        <w:t xml:space="preserve">Άρθρο 205Α του ν. 4412/2016. </w:t>
      </w:r>
    </w:p>
  </w:footnote>
  <w:footnote w:id="140">
    <w:p w:rsidR="005B0B46" w:rsidRPr="00D32247" w:rsidRDefault="005B0B46" w:rsidP="00D32247">
      <w:r w:rsidRPr="00D32247">
        <w:footnoteRef/>
      </w:r>
      <w:r w:rsidRPr="00D32247">
        <w:t xml:space="preserve">      Παρ. 1 και 2 άρθρου 206 του Ν.4412/2016.</w:t>
      </w:r>
    </w:p>
  </w:footnote>
  <w:footnote w:id="141">
    <w:p w:rsidR="005B0B46" w:rsidRPr="00D32247" w:rsidRDefault="005B0B46" w:rsidP="00D32247">
      <w:r w:rsidRPr="00D32247">
        <w:rPr>
          <w:rFonts w:eastAsia="Wingdings"/>
        </w:rPr>
        <w:footnoteRef/>
      </w:r>
      <w:r w:rsidRPr="00D32247">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42">
    <w:p w:rsidR="005B0B46" w:rsidRPr="00D32247" w:rsidRDefault="005B0B46" w:rsidP="00D32247">
      <w:r w:rsidRPr="00D32247">
        <w:rPr>
          <w:rFonts w:eastAsia="Wingdings"/>
        </w:rPr>
        <w:footnoteRef/>
      </w:r>
      <w:r w:rsidRPr="00D32247">
        <w:tab/>
        <w:t>Στο άρθρο αυτό η Α.Α. μπορεί να χρησιμοποιήσει μεταβατικά τις οδηγίες που δίνονται στην ΥΑ Π1/2489/6.09.1995 (Β΄ 764), η οποία δεν έχει καταργηθεί.</w:t>
      </w:r>
    </w:p>
  </w:footnote>
  <w:footnote w:id="143">
    <w:p w:rsidR="005B0B46" w:rsidRPr="00D32247" w:rsidRDefault="005B0B46" w:rsidP="00D32247">
      <w:r w:rsidRPr="00D32247">
        <w:rPr>
          <w:rFonts w:eastAsia="Wingdings"/>
        </w:rPr>
        <w:footnoteRef/>
      </w:r>
      <w:r w:rsidRPr="00D32247">
        <w:tab/>
      </w:r>
      <w:proofErr w:type="spellStart"/>
      <w:r w:rsidRPr="00D32247">
        <w:t>Πρβλ</w:t>
      </w:r>
      <w:proofErr w:type="spellEnd"/>
      <w:r w:rsidRPr="00D32247">
        <w:t xml:space="preserve"> άρθρο 215 ν. 4412/2016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46" w:rsidRDefault="005B0B4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5B0B46" w:rsidRDefault="005B0B46">
                <w:pPr>
                  <w:pStyle w:val="af1"/>
                </w:pPr>
                <w:r>
                  <w:rPr>
                    <w:rStyle w:val="a3"/>
                  </w:rPr>
                  <w:fldChar w:fldCharType="begin"/>
                </w:r>
                <w:r>
                  <w:rPr>
                    <w:rStyle w:val="a3"/>
                  </w:rPr>
                  <w:instrText xml:space="preserve"> PAGE </w:instrText>
                </w:r>
                <w:r>
                  <w:rPr>
                    <w:rStyle w:val="a3"/>
                  </w:rPr>
                  <w:fldChar w:fldCharType="separate"/>
                </w:r>
                <w:r w:rsidR="000C1226">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46" w:rsidRDefault="005B0B4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797D"/>
    <w:multiLevelType w:val="hybridMultilevel"/>
    <w:tmpl w:val="E748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0D13B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7A1A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51F74E0"/>
    <w:multiLevelType w:val="hybridMultilevel"/>
    <w:tmpl w:val="F18E6B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E57E3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BFB703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1">
    <w:nsid w:val="3D0A5D26"/>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0FF4A7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DE769B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A1B0E56"/>
    <w:multiLevelType w:val="hybridMultilevel"/>
    <w:tmpl w:val="7026D19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6301758D"/>
    <w:multiLevelType w:val="multilevel"/>
    <w:tmpl w:val="6301758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A71473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6"/>
  </w:num>
  <w:num w:numId="10">
    <w:abstractNumId w:val="13"/>
  </w:num>
  <w:num w:numId="11">
    <w:abstractNumId w:val="8"/>
  </w:num>
  <w:num w:numId="12">
    <w:abstractNumId w:val="10"/>
  </w:num>
  <w:num w:numId="13">
    <w:abstractNumId w:val="7"/>
  </w:num>
  <w:num w:numId="14">
    <w:abstractNumId w:val="4"/>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17"/>
  </w:num>
  <w:num w:numId="20">
    <w:abstractNumId w:val="9"/>
  </w:num>
  <w:num w:numId="21">
    <w:abstractNumId w:val="5"/>
  </w:num>
  <w:num w:numId="22">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27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3535"/>
    <w:rsid w:val="000241BF"/>
    <w:rsid w:val="00024687"/>
    <w:rsid w:val="00024BB5"/>
    <w:rsid w:val="00026B66"/>
    <w:rsid w:val="0003062A"/>
    <w:rsid w:val="00030B7E"/>
    <w:rsid w:val="00036045"/>
    <w:rsid w:val="0003699A"/>
    <w:rsid w:val="00037AD7"/>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02D7"/>
    <w:rsid w:val="000B1583"/>
    <w:rsid w:val="000B247B"/>
    <w:rsid w:val="000B32D2"/>
    <w:rsid w:val="000B4F9B"/>
    <w:rsid w:val="000C1226"/>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15D56"/>
    <w:rsid w:val="00124248"/>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082"/>
    <w:rsid w:val="00186D41"/>
    <w:rsid w:val="001873A0"/>
    <w:rsid w:val="0019405B"/>
    <w:rsid w:val="00194722"/>
    <w:rsid w:val="00197661"/>
    <w:rsid w:val="001A29B9"/>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4295"/>
    <w:rsid w:val="00204BB1"/>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2002"/>
    <w:rsid w:val="0029201B"/>
    <w:rsid w:val="002925BF"/>
    <w:rsid w:val="0029471C"/>
    <w:rsid w:val="0029648E"/>
    <w:rsid w:val="002A0330"/>
    <w:rsid w:val="002A29C1"/>
    <w:rsid w:val="002A5772"/>
    <w:rsid w:val="002B43B5"/>
    <w:rsid w:val="002B5434"/>
    <w:rsid w:val="002C0162"/>
    <w:rsid w:val="002C36B8"/>
    <w:rsid w:val="002D284B"/>
    <w:rsid w:val="002E0ADE"/>
    <w:rsid w:val="002E1914"/>
    <w:rsid w:val="002E3AF4"/>
    <w:rsid w:val="002E4DA7"/>
    <w:rsid w:val="002E5119"/>
    <w:rsid w:val="002E59E7"/>
    <w:rsid w:val="002E7F37"/>
    <w:rsid w:val="002F2D5A"/>
    <w:rsid w:val="002F6C3A"/>
    <w:rsid w:val="002F78A2"/>
    <w:rsid w:val="00300963"/>
    <w:rsid w:val="00301399"/>
    <w:rsid w:val="003025EF"/>
    <w:rsid w:val="00305DE2"/>
    <w:rsid w:val="0031302F"/>
    <w:rsid w:val="0031553A"/>
    <w:rsid w:val="0031619B"/>
    <w:rsid w:val="00316B40"/>
    <w:rsid w:val="003202CE"/>
    <w:rsid w:val="0032160F"/>
    <w:rsid w:val="00323273"/>
    <w:rsid w:val="003234B1"/>
    <w:rsid w:val="00324A25"/>
    <w:rsid w:val="003332EE"/>
    <w:rsid w:val="003340D2"/>
    <w:rsid w:val="00337039"/>
    <w:rsid w:val="00337FB9"/>
    <w:rsid w:val="00341EEE"/>
    <w:rsid w:val="00343BC7"/>
    <w:rsid w:val="00345252"/>
    <w:rsid w:val="00347232"/>
    <w:rsid w:val="00350982"/>
    <w:rsid w:val="003520D0"/>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0983"/>
    <w:rsid w:val="003B17E9"/>
    <w:rsid w:val="003B1D1F"/>
    <w:rsid w:val="003B3429"/>
    <w:rsid w:val="003B5930"/>
    <w:rsid w:val="003B65D5"/>
    <w:rsid w:val="003C235F"/>
    <w:rsid w:val="003C4A77"/>
    <w:rsid w:val="003D0A0B"/>
    <w:rsid w:val="003D4108"/>
    <w:rsid w:val="003D6A63"/>
    <w:rsid w:val="003E1559"/>
    <w:rsid w:val="003E3562"/>
    <w:rsid w:val="003E3568"/>
    <w:rsid w:val="003F53AF"/>
    <w:rsid w:val="003F5E7E"/>
    <w:rsid w:val="00401697"/>
    <w:rsid w:val="00406541"/>
    <w:rsid w:val="00407738"/>
    <w:rsid w:val="00407BAD"/>
    <w:rsid w:val="00411130"/>
    <w:rsid w:val="00411AEF"/>
    <w:rsid w:val="00416548"/>
    <w:rsid w:val="00416B27"/>
    <w:rsid w:val="00424A61"/>
    <w:rsid w:val="00425D2D"/>
    <w:rsid w:val="0042732B"/>
    <w:rsid w:val="00430F0D"/>
    <w:rsid w:val="00435514"/>
    <w:rsid w:val="00436102"/>
    <w:rsid w:val="0044354A"/>
    <w:rsid w:val="0044667E"/>
    <w:rsid w:val="00447548"/>
    <w:rsid w:val="00453239"/>
    <w:rsid w:val="0045411C"/>
    <w:rsid w:val="00456D12"/>
    <w:rsid w:val="0046203A"/>
    <w:rsid w:val="00463DBE"/>
    <w:rsid w:val="004650CA"/>
    <w:rsid w:val="004700D6"/>
    <w:rsid w:val="00471D9C"/>
    <w:rsid w:val="00475402"/>
    <w:rsid w:val="00480044"/>
    <w:rsid w:val="0048586E"/>
    <w:rsid w:val="004864AA"/>
    <w:rsid w:val="004900DF"/>
    <w:rsid w:val="004901FD"/>
    <w:rsid w:val="004905ED"/>
    <w:rsid w:val="00490954"/>
    <w:rsid w:val="00490B36"/>
    <w:rsid w:val="00492383"/>
    <w:rsid w:val="00492738"/>
    <w:rsid w:val="00495AB0"/>
    <w:rsid w:val="00497959"/>
    <w:rsid w:val="004A1804"/>
    <w:rsid w:val="004A6A11"/>
    <w:rsid w:val="004A6ABB"/>
    <w:rsid w:val="004B2E58"/>
    <w:rsid w:val="004B5203"/>
    <w:rsid w:val="004B5A70"/>
    <w:rsid w:val="004B7126"/>
    <w:rsid w:val="004C0D00"/>
    <w:rsid w:val="004C0DA4"/>
    <w:rsid w:val="004C2678"/>
    <w:rsid w:val="004D0FF0"/>
    <w:rsid w:val="004D6493"/>
    <w:rsid w:val="004D75AE"/>
    <w:rsid w:val="004E07FE"/>
    <w:rsid w:val="004E31B4"/>
    <w:rsid w:val="004E4D03"/>
    <w:rsid w:val="004E79BF"/>
    <w:rsid w:val="004F2105"/>
    <w:rsid w:val="004F330D"/>
    <w:rsid w:val="004F571B"/>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40D5A"/>
    <w:rsid w:val="00541283"/>
    <w:rsid w:val="00541C48"/>
    <w:rsid w:val="00542D49"/>
    <w:rsid w:val="0054303E"/>
    <w:rsid w:val="00547183"/>
    <w:rsid w:val="005475D6"/>
    <w:rsid w:val="005525BF"/>
    <w:rsid w:val="00554F44"/>
    <w:rsid w:val="0055529D"/>
    <w:rsid w:val="00557809"/>
    <w:rsid w:val="00561EC7"/>
    <w:rsid w:val="00562434"/>
    <w:rsid w:val="00562F2A"/>
    <w:rsid w:val="00565BA9"/>
    <w:rsid w:val="00570C36"/>
    <w:rsid w:val="00575879"/>
    <w:rsid w:val="005815DF"/>
    <w:rsid w:val="00582DA8"/>
    <w:rsid w:val="00585B41"/>
    <w:rsid w:val="005901BF"/>
    <w:rsid w:val="00590D93"/>
    <w:rsid w:val="00595671"/>
    <w:rsid w:val="005A7554"/>
    <w:rsid w:val="005A7C2D"/>
    <w:rsid w:val="005B0894"/>
    <w:rsid w:val="005B0B46"/>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170A"/>
    <w:rsid w:val="00612DE6"/>
    <w:rsid w:val="006148EF"/>
    <w:rsid w:val="00620870"/>
    <w:rsid w:val="00625FF1"/>
    <w:rsid w:val="006276DD"/>
    <w:rsid w:val="00627B3C"/>
    <w:rsid w:val="0063029B"/>
    <w:rsid w:val="00631478"/>
    <w:rsid w:val="00632014"/>
    <w:rsid w:val="006348A7"/>
    <w:rsid w:val="006366F7"/>
    <w:rsid w:val="006409B8"/>
    <w:rsid w:val="00645374"/>
    <w:rsid w:val="0064656E"/>
    <w:rsid w:val="00650645"/>
    <w:rsid w:val="00656B89"/>
    <w:rsid w:val="006600F0"/>
    <w:rsid w:val="00675B57"/>
    <w:rsid w:val="00676E69"/>
    <w:rsid w:val="00677AE1"/>
    <w:rsid w:val="0068596E"/>
    <w:rsid w:val="00686EBB"/>
    <w:rsid w:val="006908AC"/>
    <w:rsid w:val="00692E38"/>
    <w:rsid w:val="00694E11"/>
    <w:rsid w:val="006A3839"/>
    <w:rsid w:val="006A3945"/>
    <w:rsid w:val="006A5921"/>
    <w:rsid w:val="006A654E"/>
    <w:rsid w:val="006A6BF3"/>
    <w:rsid w:val="006A6F00"/>
    <w:rsid w:val="006A7168"/>
    <w:rsid w:val="006A7705"/>
    <w:rsid w:val="006B53FE"/>
    <w:rsid w:val="006B5A74"/>
    <w:rsid w:val="006C0FC5"/>
    <w:rsid w:val="006C1CE4"/>
    <w:rsid w:val="006C4E3A"/>
    <w:rsid w:val="006C4FDE"/>
    <w:rsid w:val="006C72CA"/>
    <w:rsid w:val="006D188F"/>
    <w:rsid w:val="006D31EF"/>
    <w:rsid w:val="006E150D"/>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24352"/>
    <w:rsid w:val="00731EC0"/>
    <w:rsid w:val="00734FD7"/>
    <w:rsid w:val="0073563B"/>
    <w:rsid w:val="00737C1A"/>
    <w:rsid w:val="00741E52"/>
    <w:rsid w:val="00742345"/>
    <w:rsid w:val="0074312A"/>
    <w:rsid w:val="00745967"/>
    <w:rsid w:val="007465AC"/>
    <w:rsid w:val="00746C9E"/>
    <w:rsid w:val="00746F2D"/>
    <w:rsid w:val="00751ACD"/>
    <w:rsid w:val="00752897"/>
    <w:rsid w:val="00752C50"/>
    <w:rsid w:val="007544DE"/>
    <w:rsid w:val="007572E2"/>
    <w:rsid w:val="0076270B"/>
    <w:rsid w:val="007638BA"/>
    <w:rsid w:val="00767EBB"/>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5D"/>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35BFF"/>
    <w:rsid w:val="00845CE1"/>
    <w:rsid w:val="00846B24"/>
    <w:rsid w:val="00846B9C"/>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135"/>
    <w:rsid w:val="008B2246"/>
    <w:rsid w:val="008B38D3"/>
    <w:rsid w:val="008B597E"/>
    <w:rsid w:val="008C0908"/>
    <w:rsid w:val="008C0F8A"/>
    <w:rsid w:val="008C2173"/>
    <w:rsid w:val="008C4A25"/>
    <w:rsid w:val="008C6993"/>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3E3A"/>
    <w:rsid w:val="00954DB1"/>
    <w:rsid w:val="0095529E"/>
    <w:rsid w:val="0095557F"/>
    <w:rsid w:val="00955BFE"/>
    <w:rsid w:val="009654D4"/>
    <w:rsid w:val="00967336"/>
    <w:rsid w:val="00974670"/>
    <w:rsid w:val="009765C4"/>
    <w:rsid w:val="009775C9"/>
    <w:rsid w:val="00980327"/>
    <w:rsid w:val="00980554"/>
    <w:rsid w:val="00984F9E"/>
    <w:rsid w:val="009A1378"/>
    <w:rsid w:val="009A3CA9"/>
    <w:rsid w:val="009B1A0E"/>
    <w:rsid w:val="009B26AC"/>
    <w:rsid w:val="009C2898"/>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5503"/>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1978"/>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69B"/>
    <w:rsid w:val="00B00D84"/>
    <w:rsid w:val="00B0344A"/>
    <w:rsid w:val="00B03B72"/>
    <w:rsid w:val="00B04804"/>
    <w:rsid w:val="00B04994"/>
    <w:rsid w:val="00B050E7"/>
    <w:rsid w:val="00B06F89"/>
    <w:rsid w:val="00B100E2"/>
    <w:rsid w:val="00B130AE"/>
    <w:rsid w:val="00B16BE3"/>
    <w:rsid w:val="00B208A0"/>
    <w:rsid w:val="00B22504"/>
    <w:rsid w:val="00B23090"/>
    <w:rsid w:val="00B324EF"/>
    <w:rsid w:val="00B33551"/>
    <w:rsid w:val="00B33C08"/>
    <w:rsid w:val="00B34D75"/>
    <w:rsid w:val="00B35CFE"/>
    <w:rsid w:val="00B37559"/>
    <w:rsid w:val="00B433D3"/>
    <w:rsid w:val="00B43889"/>
    <w:rsid w:val="00B46565"/>
    <w:rsid w:val="00B468EA"/>
    <w:rsid w:val="00B468F0"/>
    <w:rsid w:val="00B470FC"/>
    <w:rsid w:val="00B523B0"/>
    <w:rsid w:val="00B54857"/>
    <w:rsid w:val="00B55A2C"/>
    <w:rsid w:val="00B63874"/>
    <w:rsid w:val="00B63E14"/>
    <w:rsid w:val="00B64AA3"/>
    <w:rsid w:val="00B64ED5"/>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87A10"/>
    <w:rsid w:val="00B9396A"/>
    <w:rsid w:val="00B954AC"/>
    <w:rsid w:val="00B96C20"/>
    <w:rsid w:val="00BA40BB"/>
    <w:rsid w:val="00BA43E7"/>
    <w:rsid w:val="00BA7BEE"/>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6CB"/>
    <w:rsid w:val="00BF3750"/>
    <w:rsid w:val="00BF42FA"/>
    <w:rsid w:val="00BF4808"/>
    <w:rsid w:val="00BF4CEB"/>
    <w:rsid w:val="00C03E0B"/>
    <w:rsid w:val="00C06049"/>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C07"/>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230"/>
    <w:rsid w:val="00CE4ED5"/>
    <w:rsid w:val="00CE5F90"/>
    <w:rsid w:val="00CE6D49"/>
    <w:rsid w:val="00CE7B69"/>
    <w:rsid w:val="00CF218C"/>
    <w:rsid w:val="00CF49EB"/>
    <w:rsid w:val="00CF4D9A"/>
    <w:rsid w:val="00CF6E1F"/>
    <w:rsid w:val="00D05547"/>
    <w:rsid w:val="00D05E61"/>
    <w:rsid w:val="00D063B1"/>
    <w:rsid w:val="00D11539"/>
    <w:rsid w:val="00D115D8"/>
    <w:rsid w:val="00D11A75"/>
    <w:rsid w:val="00D120AC"/>
    <w:rsid w:val="00D1254C"/>
    <w:rsid w:val="00D1492F"/>
    <w:rsid w:val="00D157A2"/>
    <w:rsid w:val="00D15E75"/>
    <w:rsid w:val="00D16A96"/>
    <w:rsid w:val="00D17A32"/>
    <w:rsid w:val="00D17A88"/>
    <w:rsid w:val="00D17BBF"/>
    <w:rsid w:val="00D235A6"/>
    <w:rsid w:val="00D2710C"/>
    <w:rsid w:val="00D32247"/>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B7906"/>
    <w:rsid w:val="00DC151B"/>
    <w:rsid w:val="00DC295E"/>
    <w:rsid w:val="00DD0523"/>
    <w:rsid w:val="00DD1D80"/>
    <w:rsid w:val="00DD2133"/>
    <w:rsid w:val="00DD5092"/>
    <w:rsid w:val="00DD6312"/>
    <w:rsid w:val="00DD75B3"/>
    <w:rsid w:val="00DD7BD0"/>
    <w:rsid w:val="00DE04C3"/>
    <w:rsid w:val="00DE28A3"/>
    <w:rsid w:val="00DE6A3D"/>
    <w:rsid w:val="00DE6FA3"/>
    <w:rsid w:val="00DF05AD"/>
    <w:rsid w:val="00DF0C34"/>
    <w:rsid w:val="00DF19A8"/>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54BB3"/>
    <w:rsid w:val="00E62427"/>
    <w:rsid w:val="00E656C8"/>
    <w:rsid w:val="00E71244"/>
    <w:rsid w:val="00E71874"/>
    <w:rsid w:val="00E72990"/>
    <w:rsid w:val="00E750EE"/>
    <w:rsid w:val="00E75371"/>
    <w:rsid w:val="00E768E9"/>
    <w:rsid w:val="00E8027D"/>
    <w:rsid w:val="00E8393B"/>
    <w:rsid w:val="00E84480"/>
    <w:rsid w:val="00E93D42"/>
    <w:rsid w:val="00E93F40"/>
    <w:rsid w:val="00EA5371"/>
    <w:rsid w:val="00EA6500"/>
    <w:rsid w:val="00EB12D0"/>
    <w:rsid w:val="00EB2A5A"/>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17F66"/>
    <w:rsid w:val="00F23296"/>
    <w:rsid w:val="00F277FB"/>
    <w:rsid w:val="00F3320D"/>
    <w:rsid w:val="00F36142"/>
    <w:rsid w:val="00F40489"/>
    <w:rsid w:val="00F40E08"/>
    <w:rsid w:val="00F41EFD"/>
    <w:rsid w:val="00F42665"/>
    <w:rsid w:val="00F4342E"/>
    <w:rsid w:val="00F45B30"/>
    <w:rsid w:val="00F50A61"/>
    <w:rsid w:val="00F52D89"/>
    <w:rsid w:val="00F553CE"/>
    <w:rsid w:val="00F60443"/>
    <w:rsid w:val="00F61EDB"/>
    <w:rsid w:val="00F62956"/>
    <w:rsid w:val="00F70462"/>
    <w:rsid w:val="00F74868"/>
    <w:rsid w:val="00F75439"/>
    <w:rsid w:val="00F758DE"/>
    <w:rsid w:val="00F8042F"/>
    <w:rsid w:val="00F8177C"/>
    <w:rsid w:val="00F8233F"/>
    <w:rsid w:val="00F834B6"/>
    <w:rsid w:val="00F83916"/>
    <w:rsid w:val="00F90229"/>
    <w:rsid w:val="00F93F6E"/>
    <w:rsid w:val="00F94ABC"/>
    <w:rsid w:val="00FA2D7D"/>
    <w:rsid w:val="00FA43E3"/>
    <w:rsid w:val="00FA6EAD"/>
    <w:rsid w:val="00FB0E23"/>
    <w:rsid w:val="00FC234A"/>
    <w:rsid w:val="00FC3CFB"/>
    <w:rsid w:val="00FC45E7"/>
    <w:rsid w:val="00FC5473"/>
    <w:rsid w:val="00FC58C9"/>
    <w:rsid w:val="00FC58E5"/>
    <w:rsid w:val="00FC6178"/>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qFormat/>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 w:type="paragraph" w:styleId="35">
    <w:name w:val="List 3"/>
    <w:basedOn w:val="a"/>
    <w:uiPriority w:val="99"/>
    <w:unhideWhenUsed/>
    <w:rsid w:val="00B100E2"/>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83715748">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859121026">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80313363">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06669538">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hsppa.gr/" TargetMode="External"/><Relationship Id="rId18" Type="http://schemas.openxmlformats.org/officeDocument/2006/relationships/hyperlink" Target="http://www.eaadhsy.gr/n4412/art79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eaadhsy.gr/" TargetMode="External"/><Relationship Id="rId17" Type="http://schemas.openxmlformats.org/officeDocument/2006/relationships/hyperlink" Target="http://www.eaadhsy.gr/n4412/n4412fulltextlink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yperlink" Target="http://www.eaadhsy.gr/n4412/prosarthmaA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levadeon.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hyperlink" Target="http://www.eaadhsy.gr/n4412/n4412fulltextlinks.html" TargetMode="External"/><Relationship Id="rId28" Type="http://schemas.openxmlformats.org/officeDocument/2006/relationships/theme" Target="theme/theme1.xml"/><Relationship Id="rId10" Type="http://schemas.openxmlformats.org/officeDocument/2006/relationships/hyperlink" Target="http://et.diavgeia.gov.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et.diavgeia.gov.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A1DA-9AEB-4E5C-966F-EBE93EBE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59</Pages>
  <Words>27078</Words>
  <Characters>146224</Characters>
  <Application>Microsoft Office Word</Application>
  <DocSecurity>0</DocSecurity>
  <Lines>1218</Lines>
  <Paragraphs>345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2023-03-06T07:50:00Z</cp:lastPrinted>
  <dcterms:created xsi:type="dcterms:W3CDTF">2023-04-20T08:38:00Z</dcterms:created>
  <dcterms:modified xsi:type="dcterms:W3CDTF">2023-04-20T10:00:00Z</dcterms:modified>
</cp:coreProperties>
</file>