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772" w:rsidRPr="008924FF" w:rsidRDefault="003A743D" w:rsidP="00876772">
      <w:pPr>
        <w:autoSpaceDE w:val="0"/>
        <w:rPr>
          <w:rFonts w:ascii="Calibri" w:eastAsia="Arial" w:hAnsi="Calibri" w:cs="Calibri"/>
          <w:b/>
          <w:bCs/>
          <w:sz w:val="22"/>
          <w:szCs w:val="22"/>
        </w:rPr>
      </w:pPr>
      <w:r w:rsidRPr="008924FF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31FD1" w:rsidRPr="00863A5E" w:rsidRDefault="00331FD1" w:rsidP="00331FD1">
      <w:pPr>
        <w:spacing w:before="19" w:line="220" w:lineRule="exact"/>
        <w:rPr>
          <w:sz w:val="22"/>
          <w:szCs w:val="22"/>
        </w:rPr>
      </w:pPr>
    </w:p>
    <w:p w:rsidR="00245400" w:rsidRPr="004C09D6" w:rsidRDefault="00245400" w:rsidP="00236C5D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236C5D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236C5D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245400" w:rsidRPr="00236C5D" w:rsidRDefault="00245400" w:rsidP="00236C5D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236C5D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</w:t>
      </w:r>
      <w:r w:rsidR="00485CC7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</w:t>
      </w:r>
      <w:r w:rsidRPr="00236C5D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</w:t>
      </w:r>
      <w:r w:rsidRPr="00236C5D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236C5D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245400" w:rsidRPr="00C71FF1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</w:t>
      </w: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ΑΡΙΘΜ.ΠΡΩΤ: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D406EB">
        <w:rPr>
          <w:rFonts w:asciiTheme="minorHAnsi" w:eastAsia="Calibri" w:hAnsiTheme="minorHAnsi" w:cstheme="minorHAnsi"/>
          <w:b/>
          <w:bCs/>
          <w:position w:val="2"/>
        </w:rPr>
        <w:t>22188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245400" w:rsidRPr="004C09D6" w:rsidRDefault="00245400" w:rsidP="00245400">
      <w:pPr>
        <w:jc w:val="center"/>
        <w:rPr>
          <w:rFonts w:asciiTheme="minorHAnsi" w:hAnsiTheme="minorHAnsi" w:cstheme="minorHAnsi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>
        <w:rPr>
          <w:rFonts w:asciiTheme="minorHAnsi" w:eastAsia="Arial" w:hAnsiTheme="minorHAnsi" w:cstheme="minorHAnsi"/>
          <w:b/>
          <w:bCs/>
          <w:position w:val="2"/>
        </w:rPr>
        <w:t xml:space="preserve">  </w:t>
      </w:r>
      <w:r w:rsidR="00D406EB">
        <w:rPr>
          <w:rFonts w:asciiTheme="minorHAnsi" w:eastAsia="Arial" w:hAnsiTheme="minorHAnsi" w:cstheme="minorHAnsi"/>
          <w:b/>
          <w:bCs/>
          <w:position w:val="2"/>
        </w:rPr>
        <w:t>9</w:t>
      </w:r>
      <w:r w:rsidRPr="00C71FF1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1</w:t>
      </w:r>
      <w:r w:rsidR="00D406EB">
        <w:rPr>
          <w:rFonts w:asciiTheme="minorHAnsi" w:eastAsia="Arial" w:hAnsiTheme="minorHAnsi" w:cstheme="minorHAnsi"/>
          <w:b/>
          <w:bCs/>
          <w:position w:val="2"/>
        </w:rPr>
        <w:t>2</w:t>
      </w:r>
      <w:r>
        <w:rPr>
          <w:rFonts w:asciiTheme="minorHAnsi" w:eastAsia="Arial" w:hAnsiTheme="minorHAnsi" w:cstheme="minorHAnsi"/>
          <w:b/>
          <w:bCs/>
          <w:position w:val="2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2022</w:t>
      </w:r>
    </w:p>
    <w:p w:rsidR="00245400" w:rsidRPr="00F53798" w:rsidRDefault="00245400" w:rsidP="00245400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αριθμ.2022-</w:t>
      </w:r>
      <w:r>
        <w:rPr>
          <w:rFonts w:asciiTheme="minorHAnsi" w:hAnsiTheme="minorHAnsi" w:cstheme="minorHAnsi"/>
        </w:rPr>
        <w:t>31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7E1D22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DC44F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245400" w:rsidRPr="00DC44F7" w:rsidRDefault="00245400" w:rsidP="00DC44F7">
      <w:pPr>
        <w:ind w:left="133" w:right="283"/>
        <w:jc w:val="both"/>
        <w:rPr>
          <w:rFonts w:asciiTheme="minorHAnsi" w:hAnsiTheme="minorHAnsi" w:cstheme="minorHAnsi"/>
          <w:b/>
        </w:rPr>
      </w:pPr>
      <w:r w:rsidRPr="00F7668E">
        <w:rPr>
          <w:rStyle w:val="a5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8A700C">
        <w:rPr>
          <w:rFonts w:asciiTheme="minorHAnsi" w:hAnsiTheme="minorHAnsi" w:cstheme="minorHAnsi"/>
          <w:b/>
        </w:rPr>
        <w:t xml:space="preserve">:  </w:t>
      </w:r>
      <w:r w:rsidR="00DC44F7" w:rsidRPr="00DC44F7">
        <w:rPr>
          <w:rFonts w:ascii="Calibri" w:hAnsi="Calibri" w:cs="Calibri"/>
          <w:b/>
        </w:rPr>
        <w:t xml:space="preserve">Παράταση της προσωρινής  μετακίνησης του  χώρου λειτουργίας λαϊκής αγοράς οδού </w:t>
      </w:r>
      <w:proofErr w:type="spellStart"/>
      <w:r w:rsidR="00DC44F7" w:rsidRPr="00DC44F7">
        <w:rPr>
          <w:rFonts w:ascii="Calibri" w:hAnsi="Calibri" w:cs="Calibri"/>
          <w:b/>
        </w:rPr>
        <w:t>Γιαννούτσου</w:t>
      </w:r>
      <w:proofErr w:type="spellEnd"/>
      <w:r w:rsidR="00DC44F7" w:rsidRPr="00DC44F7">
        <w:rPr>
          <w:rFonts w:ascii="Calibri" w:hAnsi="Calibri" w:cs="Calibri"/>
          <w:b/>
        </w:rPr>
        <w:t xml:space="preserve"> στη Λιβαδειά, </w:t>
      </w:r>
      <w:r w:rsidR="00DC44F7" w:rsidRPr="00DC44F7">
        <w:rPr>
          <w:rFonts w:asciiTheme="minorHAnsi" w:hAnsiTheme="minorHAnsi" w:cstheme="minorHAnsi"/>
          <w:b/>
        </w:rPr>
        <w:t>στην δημοτική οδό Ρούμελης στη Λιβαδειά έως την 28-02-2023</w:t>
      </w:r>
      <w:r w:rsidR="00DC44F7" w:rsidRPr="00DC44F7">
        <w:rPr>
          <w:rFonts w:ascii="Calibri" w:hAnsi="Calibri" w:cs="Calibri"/>
          <w:b/>
        </w:rPr>
        <w:t xml:space="preserve">  , λόγω υλοποίησης του έργου με τίτλο «Ανάδειξη ιστορικού χώρου Αγίας Παρασκευής και οδού πρόσβασης </w:t>
      </w:r>
      <w:r w:rsidR="00DC44F7" w:rsidRPr="00DC44F7">
        <w:rPr>
          <w:rFonts w:asciiTheme="minorHAnsi" w:hAnsiTheme="minorHAnsi" w:cstheme="minorHAnsi"/>
          <w:b/>
          <w:color w:val="00000A"/>
        </w:rPr>
        <w:t>(</w:t>
      </w:r>
      <w:proofErr w:type="spellStart"/>
      <w:r w:rsidR="00DC44F7" w:rsidRPr="00DC44F7">
        <w:rPr>
          <w:rFonts w:asciiTheme="minorHAnsi" w:hAnsiTheme="minorHAnsi" w:cstheme="minorHAnsi"/>
          <w:b/>
          <w:color w:val="00000A"/>
        </w:rPr>
        <w:t>Γιαννούτσου</w:t>
      </w:r>
      <w:proofErr w:type="spellEnd"/>
      <w:r w:rsidR="00DC44F7" w:rsidRPr="00DC44F7">
        <w:rPr>
          <w:rFonts w:asciiTheme="minorHAnsi" w:hAnsiTheme="minorHAnsi" w:cstheme="minorHAnsi"/>
          <w:b/>
          <w:color w:val="00000A"/>
        </w:rPr>
        <w:t>)</w:t>
      </w:r>
      <w:r w:rsidR="00DC44F7" w:rsidRPr="00DC44F7">
        <w:rPr>
          <w:rFonts w:asciiTheme="minorHAnsi" w:hAnsiTheme="minorHAnsi" w:cstheme="minorHAnsi"/>
          <w:b/>
        </w:rPr>
        <w:t>»</w:t>
      </w:r>
    </w:p>
    <w:p w:rsidR="00245400" w:rsidRPr="0045589F" w:rsidRDefault="00245400" w:rsidP="00245400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</w:rPr>
      </w:pPr>
    </w:p>
    <w:p w:rsidR="00245400" w:rsidRPr="00245400" w:rsidRDefault="00245400" w:rsidP="0024540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Στη Λιβαδειά σήμερα την  7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 Δεκεμβρίου 2022, ημέρα  Τετάρτη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21740/2-12-2022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FF4B7D"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3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 xml:space="preserve"> δημοτικοί σύμβουλοι  :</w:t>
      </w:r>
    </w:p>
    <w:p w:rsidR="00245400" w:rsidRPr="00245400" w:rsidRDefault="00245400" w:rsidP="00245400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245400" w:rsidRPr="003A3B69" w:rsidRDefault="00245400" w:rsidP="00245400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245400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45400" w:rsidRPr="003A3B69" w:rsidRDefault="00245400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45400" w:rsidRPr="003A3B69" w:rsidRDefault="00245400" w:rsidP="00236C5D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245400" w:rsidRPr="003A3B69" w:rsidRDefault="00245400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245400" w:rsidRPr="00676132" w:rsidRDefault="00245400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45400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45400" w:rsidRPr="00BB488C" w:rsidRDefault="00245400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45400" w:rsidRPr="00676132" w:rsidRDefault="00245400" w:rsidP="00236C5D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245400" w:rsidRPr="00676132" w:rsidRDefault="00245400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245400" w:rsidRPr="00091E56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</w:t>
            </w:r>
            <w:r w:rsidR="002454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F4B7D" w:rsidRPr="00091E56" w:rsidRDefault="00FF4B7D" w:rsidP="00C27D34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497214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F4B7D" w:rsidRPr="00676132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FF4B7D" w:rsidRDefault="00FF4B7D" w:rsidP="00C27D34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4B7D" w:rsidRPr="00BB488C" w:rsidTr="00236C5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4B7D" w:rsidRPr="00F5224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4B7D" w:rsidRPr="00BB488C" w:rsidTr="00236C5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4B7D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FF4B7D" w:rsidRPr="00260E43" w:rsidRDefault="00FF4B7D" w:rsidP="00236C5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4B7D" w:rsidRPr="00676132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FF4B7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F4B7D" w:rsidRPr="00BB488C" w:rsidRDefault="00FF4B7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4B7D" w:rsidRPr="00676132" w:rsidRDefault="00FF4B7D" w:rsidP="00FF4B7D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</w:t>
            </w:r>
            <w:r>
              <w:rPr>
                <w:rFonts w:asciiTheme="minorHAnsi" w:hAnsiTheme="minorHAnsi" w:cstheme="minorHAnsi"/>
              </w:rPr>
              <w:t>(Απών 1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F4B7D" w:rsidRDefault="00FF4B7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4B7D" w:rsidRPr="00676132" w:rsidRDefault="00FF4B7D" w:rsidP="00C27D3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>(Απών 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>(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>προσήλθε στο 2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Απών 7-13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F6501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(απών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501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προσήλθε στο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FF4B7D">
            <w:pPr>
              <w:snapToGrid w:val="0"/>
              <w:rPr>
                <w:rFonts w:asciiTheme="minorHAnsi" w:hAnsiTheme="minorHAnsi" w:cstheme="minorHAnsi"/>
              </w:rPr>
            </w:pPr>
            <w:r w:rsidRPr="00260E43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FF4B7D">
              <w:rPr>
                <w:rFonts w:asciiTheme="minorHAnsi" w:hAnsiTheme="minorHAnsi" w:cstheme="minorHAnsi"/>
                <w:bCs/>
              </w:rPr>
              <w:t>λεξ</w:t>
            </w:r>
            <w:r w:rsidRPr="00260E43">
              <w:rPr>
                <w:rFonts w:asciiTheme="minorHAnsi" w:hAnsiTheme="minorHAnsi" w:cstheme="minorHAnsi"/>
                <w:bCs/>
              </w:rPr>
              <w:t>ίου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 xml:space="preserve"> Λουκάς</w:t>
            </w:r>
            <w:r w:rsidR="00FF4B7D">
              <w:rPr>
                <w:rFonts w:asciiTheme="minorHAnsi" w:hAnsiTheme="minorHAnsi" w:cstheme="minorHAnsi"/>
                <w:bCs/>
              </w:rPr>
              <w:t xml:space="preserve"> </w:t>
            </w:r>
            <w:r w:rsidR="00FF4B7D">
              <w:rPr>
                <w:rFonts w:asciiTheme="minorHAnsi" w:hAnsiTheme="minorHAnsi" w:cstheme="minorHAnsi"/>
              </w:rPr>
              <w:t>(Απών 8</w:t>
            </w:r>
            <w:r w:rsidR="00FF4B7D"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 w:rsidR="00FF4B7D">
              <w:rPr>
                <w:rFonts w:asciiTheme="minorHAnsi" w:hAnsiTheme="minorHAnsi" w:cstheme="minorHAnsi"/>
              </w:rPr>
              <w:t xml:space="preserve"> -13</w:t>
            </w:r>
            <w:r w:rsidR="00FF4B7D"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 w:rsidR="00FF4B7D">
              <w:rPr>
                <w:rFonts w:asciiTheme="minorHAnsi" w:hAnsiTheme="minorHAnsi" w:cstheme="minorHAnsi"/>
              </w:rPr>
              <w:t xml:space="preserve"> ΘΗΔ)</w:t>
            </w:r>
            <w:r w:rsidR="00FF4B7D" w:rsidRPr="00676132">
              <w:rPr>
                <w:rFonts w:asciiTheme="minorHAnsi" w:hAnsiTheme="minorHAnsi" w:cstheme="minorHAnsi"/>
                <w:b/>
              </w:rPr>
              <w:t xml:space="preserve">  </w:t>
            </w:r>
            <w:r w:rsidR="00FF4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236C5D" w:rsidRDefault="00236C5D" w:rsidP="00236C5D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Default="00236C5D" w:rsidP="00236C5D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260E43" w:rsidRDefault="00236C5D" w:rsidP="00236C5D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36C5D" w:rsidRPr="00BB488C" w:rsidTr="00236C5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236C5D" w:rsidRPr="00BB488C" w:rsidRDefault="00236C5D" w:rsidP="0081652F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236C5D" w:rsidRPr="00676132" w:rsidRDefault="00236C5D" w:rsidP="00FF4B7D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  <w:r w:rsidR="00FF4B7D">
              <w:rPr>
                <w:rFonts w:asciiTheme="minorHAnsi" w:hAnsiTheme="minorHAnsi" w:cstheme="minorHAnsi"/>
              </w:rPr>
              <w:t>(Απών 6</w:t>
            </w:r>
            <w:r w:rsidR="00FF4B7D"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 w:rsidR="00FF4B7D">
              <w:rPr>
                <w:rFonts w:asciiTheme="minorHAnsi" w:hAnsiTheme="minorHAnsi" w:cstheme="minorHAnsi"/>
              </w:rPr>
              <w:t xml:space="preserve"> -13</w:t>
            </w:r>
            <w:r w:rsidR="00FF4B7D"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 w:rsidR="00FF4B7D">
              <w:rPr>
                <w:rFonts w:asciiTheme="minorHAnsi" w:hAnsiTheme="minorHAnsi" w:cstheme="minorHAnsi"/>
              </w:rPr>
              <w:t xml:space="preserve"> ΘΗΔ)</w:t>
            </w:r>
            <w:r w:rsidR="00FF4B7D" w:rsidRPr="00676132">
              <w:rPr>
                <w:rFonts w:asciiTheme="minorHAnsi" w:hAnsiTheme="minorHAnsi" w:cstheme="minorHAnsi"/>
                <w:b/>
              </w:rPr>
              <w:t xml:space="preserve">  </w:t>
            </w:r>
            <w:r w:rsidR="00FF4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236C5D" w:rsidRPr="00676132" w:rsidRDefault="00236C5D" w:rsidP="00236C5D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236C5D" w:rsidRPr="00676132" w:rsidRDefault="00236C5D" w:rsidP="00236C5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245400" w:rsidRPr="00676132" w:rsidRDefault="00245400" w:rsidP="00245400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76132">
        <w:rPr>
          <w:rFonts w:asciiTheme="minorHAnsi" w:eastAsia="Arial" w:hAnsiTheme="minorHAnsi" w:cstheme="minorHAnsi"/>
        </w:rPr>
        <w:t xml:space="preserve">    </w:t>
      </w:r>
      <w:r w:rsidRPr="00676132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245400" w:rsidRPr="00676132" w:rsidRDefault="007E1D22" w:rsidP="0024540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  <w:r>
        <w:rPr>
          <w:rFonts w:ascii="Calibri" w:eastAsia="Calibri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245400" w:rsidRPr="00676132" w:rsidRDefault="00245400" w:rsidP="00245400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76132">
        <w:rPr>
          <w:rFonts w:asciiTheme="minorHAnsi" w:eastAsia="Arial" w:hAnsiTheme="minorHAnsi" w:cstheme="minorHAnsi"/>
        </w:rPr>
        <w:lastRenderedPageBreak/>
        <w:t xml:space="preserve">  </w:t>
      </w:r>
      <w:r w:rsidRPr="00676132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245400" w:rsidRPr="00D652D8" w:rsidRDefault="00245400" w:rsidP="00245400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hAnsiTheme="minorHAnsi" w:cstheme="minorHAnsi"/>
        </w:rPr>
        <w:t xml:space="preserve">  </w:t>
      </w:r>
    </w:p>
    <w:p w:rsidR="00D76195" w:rsidRDefault="00245400" w:rsidP="00740610">
      <w:pPr>
        <w:pStyle w:val="Web"/>
        <w:spacing w:after="0" w:line="360" w:lineRule="auto"/>
        <w:ind w:right="-127"/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</w:pPr>
      <w:r w:rsidRPr="00190206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="00740610" w:rsidRPr="00740610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το</w:t>
      </w:r>
      <w:r w:rsidRPr="00D652D8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 </w:t>
      </w:r>
      <w:r w:rsidR="00DC44F7" w:rsidRPr="00DC44F7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10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>
        <w:rPr>
          <w:rStyle w:val="FontStyle17"/>
          <w:rFonts w:asciiTheme="minorHAns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652D8">
        <w:rPr>
          <w:rStyle w:val="FontStyle17"/>
          <w:rFonts w:asciiTheme="minorHAnsi" w:hAnsiTheme="minorHAnsi" w:cstheme="minorHAnsi"/>
          <w:i/>
          <w:iCs/>
          <w:spacing w:val="-3"/>
        </w:rPr>
        <w:t>,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190206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Pr="00B57F6B">
        <w:rPr>
          <w:rFonts w:asciiTheme="minorHAnsi" w:hAnsiTheme="minorHAnsi" w:cstheme="minorHAnsi"/>
        </w:rPr>
        <w:t xml:space="preserve">  Συμβουλίου , </w:t>
      </w:r>
      <w:r w:rsidR="007E1D22" w:rsidRPr="00DC44F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τ</w:t>
      </w:r>
      <w:r w:rsidR="00DC44F7" w:rsidRPr="00DC44F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ην </w:t>
      </w:r>
      <w:proofErr w:type="spellStart"/>
      <w:r w:rsidR="00DC44F7" w:rsidRPr="00DC44F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DC44F7" w:rsidRPr="00DC44F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C44F7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76195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50/2022 Απόφαση της Επιτροπής Ποιότητας Ζωής  σύμφωνα με την οποία:</w:t>
      </w:r>
    </w:p>
    <w:p w:rsidR="00D76195" w:rsidRDefault="00D76195" w:rsidP="00D76195">
      <w:pPr>
        <w:spacing w:line="360" w:lineRule="auto"/>
        <w:jc w:val="both"/>
        <w:rPr>
          <w:rFonts w:ascii="Calibri" w:hAnsi="Calibri" w:cs="Calibri"/>
        </w:rPr>
      </w:pPr>
      <w:r w:rsidRPr="00D76195">
        <w:rPr>
          <w:rFonts w:asciiTheme="minorHAnsi" w:hAnsiTheme="minorHAnsi" w:cstheme="minorHAnsi"/>
        </w:rPr>
        <w:t xml:space="preserve">Εισηγείται ΘΕΤΙΚΑ στο Δημοτικό Συμβούλιο </w:t>
      </w:r>
      <w:r w:rsidRPr="00D76195">
        <w:rPr>
          <w:rFonts w:ascii="Calibri" w:hAnsi="Calibri" w:cs="Calibri"/>
        </w:rPr>
        <w:t>για παράταση της προσωρινής μετακίνησης λαϊκής αγοράς του Σαββάτου, στην δημοτική οδό Ρούμελης  στη Λιβαδειά έως 28-2-2023</w:t>
      </w:r>
    </w:p>
    <w:p w:rsidR="00D76195" w:rsidRDefault="00D76195" w:rsidP="00D761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Λαμβάνοντας το λόγο ο κ.  Δήμαρχος   είπε ότι αρχικά η Τεχνική Υπηρεσία είχε ζητήσει 6 μήνες για να παραδώσει τα πεζοδρόμια στην οδό </w:t>
      </w:r>
      <w:proofErr w:type="spellStart"/>
      <w:r>
        <w:rPr>
          <w:rFonts w:asciiTheme="minorHAnsi" w:hAnsiTheme="minorHAnsi" w:cstheme="minorHAnsi"/>
        </w:rPr>
        <w:t>Γιαννούτσου</w:t>
      </w:r>
      <w:proofErr w:type="spellEnd"/>
      <w:r>
        <w:rPr>
          <w:rFonts w:asciiTheme="minorHAnsi" w:hAnsiTheme="minorHAnsi" w:cstheme="minorHAnsi"/>
        </w:rPr>
        <w:t xml:space="preserve">. Χορηγήθηκε μια 3 </w:t>
      </w:r>
      <w:proofErr w:type="spellStart"/>
      <w:r>
        <w:rPr>
          <w:rFonts w:asciiTheme="minorHAnsi" w:hAnsiTheme="minorHAnsi" w:cstheme="minorHAnsi"/>
        </w:rPr>
        <w:t>μηνη</w:t>
      </w:r>
      <w:proofErr w:type="spellEnd"/>
      <w:r>
        <w:rPr>
          <w:rFonts w:asciiTheme="minorHAnsi" w:hAnsiTheme="minorHAnsi" w:cstheme="minorHAnsi"/>
        </w:rPr>
        <w:t xml:space="preserve"> προθεσμία για </w:t>
      </w:r>
      <w:proofErr w:type="spellStart"/>
      <w:r>
        <w:rPr>
          <w:rFonts w:asciiTheme="minorHAnsi" w:hAnsiTheme="minorHAnsi" w:cstheme="minorHAnsi"/>
        </w:rPr>
        <w:t>χωροθέτηση</w:t>
      </w:r>
      <w:proofErr w:type="spellEnd"/>
      <w:r>
        <w:rPr>
          <w:rFonts w:asciiTheme="minorHAnsi" w:hAnsiTheme="minorHAnsi" w:cstheme="minorHAnsi"/>
        </w:rPr>
        <w:t xml:space="preserve"> της λαϊκής αγοράς στην οδό Ρούμελης από την οδό </w:t>
      </w:r>
      <w:proofErr w:type="spellStart"/>
      <w:r>
        <w:rPr>
          <w:rFonts w:asciiTheme="minorHAnsi" w:hAnsiTheme="minorHAnsi" w:cstheme="minorHAnsi"/>
        </w:rPr>
        <w:t>Γιαννούτσου</w:t>
      </w:r>
      <w:proofErr w:type="spellEnd"/>
      <w:r>
        <w:rPr>
          <w:rFonts w:asciiTheme="minorHAnsi" w:hAnsiTheme="minorHAnsi" w:cstheme="minorHAnsi"/>
        </w:rPr>
        <w:t xml:space="preserve"> με την προοπτική να εξεταστεί η αποδοχή και η λειτουργικότητα της. Τελικά όπως διαφάνηκε, η αποδοχή από τους δημότες και από τους επαγγελματίες ήταν πολύ καλή, η περιοχή έχει προσβασιμότητα από τις περισσότερες συνοικίες της πόλης, υπάρχει συγκοινωνία, υπάρχει χώρος για στάθμευση και χώρος για την σωστή ανάπτυξη των πάγκων. Άρα μπορεί να χορηγηθεί η 3 </w:t>
      </w:r>
      <w:proofErr w:type="spellStart"/>
      <w:r>
        <w:rPr>
          <w:rFonts w:asciiTheme="minorHAnsi" w:hAnsiTheme="minorHAnsi" w:cstheme="minorHAnsi"/>
        </w:rPr>
        <w:t>μηνη</w:t>
      </w:r>
      <w:proofErr w:type="spellEnd"/>
      <w:r>
        <w:rPr>
          <w:rFonts w:asciiTheme="minorHAnsi" w:hAnsiTheme="minorHAnsi" w:cstheme="minorHAnsi"/>
        </w:rPr>
        <w:t xml:space="preserve"> παράταση για την περάτωση των έργων στην οδό </w:t>
      </w:r>
      <w:proofErr w:type="spellStart"/>
      <w:r>
        <w:rPr>
          <w:rFonts w:asciiTheme="minorHAnsi" w:hAnsiTheme="minorHAnsi" w:cstheme="minorHAnsi"/>
        </w:rPr>
        <w:t>Γιαννούτσου</w:t>
      </w:r>
      <w:proofErr w:type="spellEnd"/>
      <w:r>
        <w:rPr>
          <w:rFonts w:asciiTheme="minorHAnsi" w:hAnsiTheme="minorHAnsi" w:cstheme="minorHAnsi"/>
        </w:rPr>
        <w:t xml:space="preserve">. Η Δημοτική Αρχή εξετάζει κι άλλα σενάρια για την σωστή λειτουργία των υπαίθριων αγορών με την λιγότερη δυνατή όχληση, όπως η μεταφορά της λαϊκής από την </w:t>
      </w:r>
      <w:proofErr w:type="spellStart"/>
      <w:r>
        <w:rPr>
          <w:rFonts w:asciiTheme="minorHAnsi" w:hAnsiTheme="minorHAnsi" w:cstheme="minorHAnsi"/>
        </w:rPr>
        <w:t>Καραγιαννοπούλου</w:t>
      </w:r>
      <w:proofErr w:type="spellEnd"/>
      <w:r>
        <w:rPr>
          <w:rFonts w:asciiTheme="minorHAnsi" w:hAnsiTheme="minorHAnsi" w:cstheme="minorHAnsi"/>
        </w:rPr>
        <w:t xml:space="preserve"> που δεν είναι τόσο λειτουργική.</w:t>
      </w:r>
    </w:p>
    <w:p w:rsidR="00C27D34" w:rsidRPr="00B07EEA" w:rsidRDefault="00D76195" w:rsidP="00D7619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 </w:t>
      </w:r>
      <w:r w:rsidR="00F171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40488" w:rsidRPr="00B07EEA" w:rsidRDefault="00C40488" w:rsidP="00C4048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sz w:val="22"/>
          <w:szCs w:val="22"/>
        </w:rPr>
        <w:t xml:space="preserve">Το Δημοτικό Συμβούλιο </w:t>
      </w:r>
      <w:r w:rsidR="00F1717F">
        <w:rPr>
          <w:rFonts w:asciiTheme="minorHAnsi" w:hAnsiTheme="minorHAnsi" w:cstheme="minorHAnsi"/>
          <w:sz w:val="22"/>
          <w:szCs w:val="22"/>
        </w:rPr>
        <w:t xml:space="preserve"> μετά διαλογική συζήτηση </w:t>
      </w:r>
      <w:r w:rsidRPr="00B07EEA">
        <w:rPr>
          <w:rFonts w:asciiTheme="minorHAnsi" w:hAnsiTheme="minorHAnsi" w:cstheme="minorHAnsi"/>
          <w:sz w:val="22"/>
          <w:szCs w:val="22"/>
        </w:rPr>
        <w:t xml:space="preserve"> και  </w:t>
      </w:r>
      <w:r w:rsidR="00F1717F">
        <w:rPr>
          <w:rFonts w:asciiTheme="minorHAnsi" w:hAnsiTheme="minorHAnsi" w:cstheme="minorHAnsi"/>
          <w:sz w:val="22"/>
          <w:szCs w:val="22"/>
        </w:rPr>
        <w:t xml:space="preserve">αφού </w:t>
      </w:r>
      <w:r w:rsidRPr="00B07EEA">
        <w:rPr>
          <w:rFonts w:asciiTheme="minorHAnsi" w:hAnsiTheme="minorHAnsi" w:cstheme="minorHAnsi"/>
          <w:sz w:val="22"/>
          <w:szCs w:val="22"/>
        </w:rPr>
        <w:t>έλαβε υπόψη του:</w:t>
      </w:r>
    </w:p>
    <w:p w:rsidR="00C40488" w:rsidRPr="00B07EE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7EE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του Ν. 4555/2018 (αντικατάσταση του άρθρου 67 του Ν. 3852/2010)</w:t>
      </w:r>
      <w:r w:rsidRPr="00B07E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C40488" w:rsidRPr="00B07EEA" w:rsidRDefault="00C40488" w:rsidP="00C40488">
      <w:pPr>
        <w:pStyle w:val="af9"/>
        <w:numPr>
          <w:ilvl w:val="0"/>
          <w:numId w:val="16"/>
        </w:num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7EE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B07EE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07EE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07EE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07E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7EE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C40488" w:rsidRPr="00B07EE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B07EE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07EE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B07EE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B07EEA">
        <w:rPr>
          <w:rFonts w:asciiTheme="minorHAnsi" w:hAnsiTheme="minorHAnsi" w:cstheme="minorHAnsi"/>
          <w:bCs/>
          <w:sz w:val="22"/>
          <w:szCs w:val="22"/>
        </w:rPr>
        <w:t>«</w:t>
      </w:r>
      <w:r w:rsidRPr="00B07EE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C40488" w:rsidRPr="00B07EEA" w:rsidRDefault="00C40488" w:rsidP="00C40488">
      <w:pPr>
        <w:pStyle w:val="af9"/>
        <w:numPr>
          <w:ilvl w:val="0"/>
          <w:numId w:val="16"/>
        </w:numPr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7EEA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C40488" w:rsidRPr="00740610" w:rsidRDefault="00D76195" w:rsidP="00485CC7">
      <w:pPr>
        <w:pStyle w:val="af9"/>
        <w:numPr>
          <w:ilvl w:val="0"/>
          <w:numId w:val="16"/>
        </w:numPr>
        <w:suppressAutoHyphens w:val="0"/>
        <w:spacing w:beforeLines="100" w:after="100" w:line="360" w:lineRule="auto"/>
        <w:ind w:left="284" w:hanging="284"/>
        <w:jc w:val="both"/>
        <w:rPr>
          <w:rStyle w:val="aa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eastAsia="Arial" w:hAnsiTheme="minorHAnsi" w:cstheme="minorHAnsi"/>
          <w:iCs/>
          <w:color w:val="000000"/>
          <w:kern w:val="1"/>
          <w:sz w:val="22"/>
          <w:szCs w:val="22"/>
          <w:highlight w:val="white"/>
        </w:rPr>
        <w:t xml:space="preserve">    </w:t>
      </w:r>
      <w:r w:rsidR="00C40488" w:rsidRPr="00B07EEA">
        <w:rPr>
          <w:rFonts w:asciiTheme="minorHAnsi" w:eastAsia="Arial" w:hAnsiTheme="minorHAnsi" w:cstheme="minorHAnsi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="00C40488" w:rsidRPr="00740610">
        <w:rPr>
          <w:rStyle w:val="aa"/>
          <w:rFonts w:asciiTheme="minorHAnsi" w:hAnsiTheme="minorHAnsi" w:cstheme="minorHAnsi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F1717F" w:rsidRPr="00D76195" w:rsidRDefault="00D76195" w:rsidP="00485CC7">
      <w:pPr>
        <w:pStyle w:val="Web"/>
        <w:numPr>
          <w:ilvl w:val="0"/>
          <w:numId w:val="16"/>
        </w:numPr>
        <w:spacing w:beforeLines="100" w:after="10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50/2022 Απόφαση της ΕΠΟΙΖΩ </w:t>
      </w:r>
    </w:p>
    <w:p w:rsidR="00D76195" w:rsidRPr="00D76195" w:rsidRDefault="00D76195" w:rsidP="00D76195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  <w:lang w:val="el-GR"/>
        </w:rPr>
      </w:pPr>
      <w:r w:rsidRPr="00D76195">
        <w:rPr>
          <w:rFonts w:asciiTheme="minorHAnsi" w:hAnsiTheme="minorHAnsi" w:cstheme="minorHAnsi"/>
          <w:sz w:val="22"/>
          <w:szCs w:val="22"/>
          <w:lang w:val="el-GR"/>
        </w:rPr>
        <w:t xml:space="preserve">Την </w:t>
      </w:r>
      <w:proofErr w:type="spellStart"/>
      <w:r w:rsidRPr="00D76195">
        <w:rPr>
          <w:rFonts w:asciiTheme="minorHAnsi" w:hAnsiTheme="minorHAnsi" w:cstheme="minorHAnsi"/>
          <w:sz w:val="22"/>
          <w:szCs w:val="22"/>
          <w:lang w:val="el-GR"/>
        </w:rPr>
        <w:t>υπ΄αριθμ</w:t>
      </w:r>
      <w:proofErr w:type="spellEnd"/>
      <w:r w:rsidRPr="00D7619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76195">
        <w:rPr>
          <w:rFonts w:asciiTheme="minorHAnsi" w:hAnsiTheme="minorHAnsi" w:cstheme="minorHAnsi"/>
          <w:color w:val="00000A"/>
          <w:lang w:val="el-GR"/>
        </w:rPr>
        <w:t>83/2022 Απόφασης Δημοτικού Συμβουλίου (ΑΔΑ 64Θ6ΩΛΗ-ΩΜ4</w:t>
      </w:r>
      <w:r w:rsidRPr="00D76195">
        <w:rPr>
          <w:rFonts w:asciiTheme="minorHAnsi" w:hAnsiTheme="minorHAnsi" w:cstheme="minorHAnsi"/>
          <w:i/>
          <w:color w:val="00000A"/>
          <w:lang w:val="el-GR"/>
        </w:rPr>
        <w:t>)</w:t>
      </w:r>
      <w:r w:rsidRPr="00D76195">
        <w:rPr>
          <w:rFonts w:asciiTheme="minorHAnsi" w:hAnsiTheme="minorHAnsi" w:cstheme="minorHAnsi"/>
          <w:i/>
          <w:lang w:val="el-GR"/>
        </w:rPr>
        <w:t xml:space="preserve">.        </w:t>
      </w:r>
    </w:p>
    <w:p w:rsidR="00D406EB" w:rsidRPr="00B85234" w:rsidRDefault="00D406EB" w:rsidP="00D406EB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19" w:after="119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Theme="minorHAnsi" w:hAnsiTheme="minorHAnsi" w:cstheme="minorHAnsi"/>
          <w:color w:val="00000A"/>
          <w:sz w:val="24"/>
          <w:szCs w:val="24"/>
        </w:rPr>
        <w:t xml:space="preserve">Τις διατάξεις του άρθρου  25 του Ν. 4849/2021 (ΦΕΚ 207, </w:t>
      </w:r>
      <w:proofErr w:type="spellStart"/>
      <w:r w:rsidRPr="00B85234">
        <w:rPr>
          <w:rFonts w:asciiTheme="minorHAnsi" w:hAnsiTheme="minorHAnsi" w:cstheme="minorHAnsi"/>
          <w:color w:val="00000A"/>
          <w:sz w:val="24"/>
          <w:szCs w:val="24"/>
        </w:rPr>
        <w:t>τ.Α</w:t>
      </w:r>
      <w:proofErr w:type="spellEnd"/>
      <w:r w:rsidRPr="00B85234">
        <w:rPr>
          <w:rFonts w:asciiTheme="minorHAnsi" w:hAnsiTheme="minorHAnsi" w:cstheme="minorHAnsi"/>
          <w:color w:val="00000A"/>
          <w:sz w:val="24"/>
          <w:szCs w:val="24"/>
        </w:rPr>
        <w:t>).</w:t>
      </w:r>
    </w:p>
    <w:p w:rsidR="00D406EB" w:rsidRPr="000D2B2C" w:rsidRDefault="00D406EB" w:rsidP="00D406EB">
      <w:pPr>
        <w:pStyle w:val="af9"/>
        <w:widowControl w:val="0"/>
        <w:numPr>
          <w:ilvl w:val="0"/>
          <w:numId w:val="16"/>
        </w:numPr>
        <w:tabs>
          <w:tab w:val="left" w:pos="1980"/>
        </w:tabs>
        <w:spacing w:before="100" w:beforeAutospacing="1" w:after="119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234">
        <w:rPr>
          <w:rFonts w:asciiTheme="minorHAnsi" w:hAnsiTheme="minorHAnsi" w:cstheme="minorHAnsi"/>
          <w:color w:val="00000A"/>
          <w:sz w:val="24"/>
          <w:szCs w:val="24"/>
        </w:rPr>
        <w:t>Τις διατάξεις της παρ.1ιβ του άρθρου 83 του Ν.3852/2010</w:t>
      </w:r>
      <w:r w:rsidRPr="00F26EC1">
        <w:rPr>
          <w:rFonts w:asciiTheme="minorHAnsi" w:hAnsiTheme="minorHAnsi" w:cstheme="minorHAnsi"/>
          <w:i/>
          <w:color w:val="00000A"/>
        </w:rPr>
        <w:t xml:space="preserve"> </w:t>
      </w:r>
    </w:p>
    <w:p w:rsidR="00D406EB" w:rsidRPr="002C29F6" w:rsidRDefault="00D406EB" w:rsidP="00D406EB">
      <w:pPr>
        <w:pStyle w:val="af9"/>
        <w:numPr>
          <w:ilvl w:val="0"/>
          <w:numId w:val="16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 4954/2022 </w:t>
      </w:r>
    </w:p>
    <w:p w:rsidR="00C5691F" w:rsidRPr="00B07EEA" w:rsidRDefault="00C5691F" w:rsidP="00C5691F">
      <w:pPr>
        <w:widowControl w:val="0"/>
        <w:numPr>
          <w:ilvl w:val="0"/>
          <w:numId w:val="16"/>
        </w:numPr>
        <w:tabs>
          <w:tab w:val="center" w:pos="8460"/>
        </w:tabs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C5691F" w:rsidRPr="00B07EEA" w:rsidRDefault="00C5691F" w:rsidP="00C5691F">
      <w:pPr>
        <w:pStyle w:val="af9"/>
        <w:rPr>
          <w:rFonts w:asciiTheme="minorHAnsi" w:hAnsiTheme="minorHAnsi" w:cstheme="minorHAnsi"/>
          <w:i/>
          <w:sz w:val="22"/>
          <w:szCs w:val="22"/>
        </w:rPr>
      </w:pPr>
    </w:p>
    <w:p w:rsidR="00C5691F" w:rsidRPr="00B07EEA" w:rsidRDefault="00C5691F" w:rsidP="00C5691F">
      <w:pPr>
        <w:pStyle w:val="ad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B07EEA">
        <w:rPr>
          <w:rFonts w:asciiTheme="minorHAnsi" w:eastAsia="SimSun" w:hAnsiTheme="minorHAnsi" w:cstheme="minorHAnsi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B07E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331FD1" w:rsidRPr="00B07EEA" w:rsidRDefault="00331FD1" w:rsidP="00331FD1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331FD1" w:rsidRPr="00B07EEA" w:rsidRDefault="00C5691F" w:rsidP="00C5691F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ΑΠΟΦΑΣΙΖΕΙ </w:t>
      </w:r>
      <w:r w:rsidR="00F1717F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C5691F" w:rsidRPr="00B07EEA" w:rsidRDefault="00C5691F" w:rsidP="00C5691F">
      <w:pPr>
        <w:spacing w:before="6"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D406EB" w:rsidRDefault="00D406EB" w:rsidP="00D406EB">
      <w:pPr>
        <w:spacing w:line="360" w:lineRule="auto"/>
        <w:jc w:val="both"/>
        <w:rPr>
          <w:rFonts w:asciiTheme="minorHAnsi" w:hAnsiTheme="minorHAnsi" w:cstheme="minorHAnsi"/>
        </w:rPr>
      </w:pPr>
      <w:r w:rsidRPr="00D406EB">
        <w:rPr>
          <w:rFonts w:ascii="Calibri" w:hAnsi="Calibri" w:cs="Calibri"/>
        </w:rPr>
        <w:t xml:space="preserve">Την </w:t>
      </w:r>
      <w:r w:rsidRPr="00D406EB">
        <w:rPr>
          <w:rFonts w:asciiTheme="minorHAnsi" w:hAnsiTheme="minorHAnsi" w:cstheme="minorHAnsi"/>
        </w:rPr>
        <w:t xml:space="preserve"> παράταση της προσωρινής μετακίνησης του  χώρου λειτουργίας λαϊκής αγοράς που διενεργείται επί της οδού </w:t>
      </w:r>
      <w:proofErr w:type="spellStart"/>
      <w:r w:rsidRPr="00D406EB">
        <w:rPr>
          <w:rFonts w:asciiTheme="minorHAnsi" w:hAnsiTheme="minorHAnsi" w:cstheme="minorHAnsi"/>
        </w:rPr>
        <w:t>Γιαννούτσου</w:t>
      </w:r>
      <w:proofErr w:type="spellEnd"/>
      <w:r w:rsidRPr="00D406EB">
        <w:rPr>
          <w:rFonts w:asciiTheme="minorHAnsi" w:hAnsiTheme="minorHAnsi" w:cstheme="minorHAnsi"/>
        </w:rPr>
        <w:t xml:space="preserve"> της Κοινότητας Λιβαδειάς, στην δημοτική οδό Ρούμελης στη Λιβαδειά</w:t>
      </w:r>
      <w:r w:rsidRPr="00B85234">
        <w:rPr>
          <w:rFonts w:asciiTheme="minorHAnsi" w:hAnsiTheme="minorHAnsi" w:cstheme="minorHAnsi"/>
        </w:rPr>
        <w:t xml:space="preserve"> λόγω υλοποίησης του έργου με τίτλο «Ανάδειξη ιστορικού χώρου Αγίας Παρασκευής και οδού πρόσβασης </w:t>
      </w:r>
      <w:r w:rsidRPr="00B85234">
        <w:rPr>
          <w:rFonts w:asciiTheme="minorHAnsi" w:hAnsiTheme="minorHAnsi" w:cstheme="minorHAnsi"/>
          <w:color w:val="00000A"/>
        </w:rPr>
        <w:t>(</w:t>
      </w:r>
      <w:proofErr w:type="spellStart"/>
      <w:r w:rsidRPr="00B85234">
        <w:rPr>
          <w:rFonts w:asciiTheme="minorHAnsi" w:hAnsiTheme="minorHAnsi" w:cstheme="minorHAnsi"/>
          <w:color w:val="00000A"/>
        </w:rPr>
        <w:t>Γιαννούτσου</w:t>
      </w:r>
      <w:proofErr w:type="spellEnd"/>
      <w:r w:rsidRPr="00B85234">
        <w:rPr>
          <w:rFonts w:asciiTheme="minorHAnsi" w:hAnsiTheme="minorHAnsi" w:cstheme="minorHAnsi"/>
          <w:color w:val="00000A"/>
        </w:rPr>
        <w:t>)</w:t>
      </w:r>
      <w:r>
        <w:rPr>
          <w:rFonts w:asciiTheme="minorHAnsi" w:hAnsiTheme="minorHAnsi" w:cstheme="minorHAnsi"/>
          <w:color w:val="00000A"/>
        </w:rPr>
        <w:t>,</w:t>
      </w:r>
      <w:r w:rsidRPr="00B852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406EB">
        <w:rPr>
          <w:rFonts w:asciiTheme="minorHAnsi" w:hAnsiTheme="minorHAnsi" w:cstheme="minorHAnsi"/>
        </w:rPr>
        <w:t>έως την 28-02-2023</w:t>
      </w:r>
      <w:r w:rsidRPr="00DC44F7">
        <w:rPr>
          <w:rFonts w:ascii="Calibri" w:hAnsi="Calibri" w:cs="Calibri"/>
          <w:b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B85234">
        <w:rPr>
          <w:rFonts w:asciiTheme="minorHAnsi" w:hAnsiTheme="minorHAnsi" w:cstheme="minorHAnsi"/>
        </w:rPr>
        <w:t>.</w:t>
      </w:r>
    </w:p>
    <w:p w:rsidR="00D406EB" w:rsidRDefault="00D406EB" w:rsidP="00D406E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 xml:space="preserve"> </w:t>
      </w:r>
    </w:p>
    <w:p w:rsidR="00F1717F" w:rsidRDefault="000F743F" w:rsidP="00D406EB">
      <w:pPr>
        <w:pStyle w:val="ad"/>
        <w:tabs>
          <w:tab w:val="center" w:pos="1080"/>
          <w:tab w:val="center" w:pos="7920"/>
        </w:tabs>
        <w:spacing w:line="276" w:lineRule="auto"/>
        <w:jc w:val="center"/>
      </w:pPr>
      <w:r w:rsidRPr="00E21B37">
        <w:rPr>
          <w:rFonts w:ascii="Calibri" w:eastAsia="Arial" w:hAnsi="Calibri" w:cs="Calibri"/>
          <w:b/>
        </w:rPr>
        <w:t xml:space="preserve">Η </w:t>
      </w:r>
      <w:r w:rsidRPr="00E21B37">
        <w:rPr>
          <w:rFonts w:asciiTheme="minorHAnsi" w:eastAsia="Arial" w:hAnsiTheme="minorHAnsi" w:cstheme="minorHAnsi"/>
          <w:b/>
        </w:rPr>
        <w:t xml:space="preserve">παρούσα </w:t>
      </w:r>
      <w:r w:rsidRPr="00E21B37">
        <w:rPr>
          <w:rFonts w:ascii="Calibri" w:eastAsia="Arial" w:hAnsi="Calibri" w:cs="Calibri"/>
          <w:b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>4</w:t>
      </w:r>
      <w:r w:rsidR="00D406EB">
        <w:rPr>
          <w:rFonts w:asciiTheme="minorHAnsi" w:eastAsia="Arial" w:hAnsiTheme="minorHAnsi" w:cstheme="minorHAnsi"/>
          <w:b/>
        </w:rPr>
        <w:t>7</w:t>
      </w:r>
    </w:p>
    <w:p w:rsidR="004B7001" w:rsidRPr="00D71160" w:rsidRDefault="004B7001" w:rsidP="004B7001">
      <w:pPr>
        <w:ind w:left="-426"/>
        <w:rPr>
          <w:rFonts w:asciiTheme="minorHAnsi" w:eastAsia="Calibri" w:hAnsiTheme="minorHAnsi" w:cstheme="minorHAnsi"/>
        </w:rPr>
      </w:pPr>
    </w:p>
    <w:p w:rsidR="004B7001" w:rsidRPr="00E21B37" w:rsidRDefault="004B7001" w:rsidP="004B7001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</w:rPr>
        <w:t xml:space="preserve"> </w:t>
      </w:r>
    </w:p>
    <w:p w:rsidR="004B7001" w:rsidRDefault="004B7001" w:rsidP="004B7001">
      <w:pPr>
        <w:jc w:val="center"/>
        <w:rPr>
          <w:rFonts w:ascii="Calibri" w:hAnsi="Calibri" w:cs="Calibri"/>
          <w:b/>
          <w:bCs/>
        </w:rPr>
      </w:pP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4B7001" w:rsidRPr="00B07EEA" w:rsidRDefault="004B7001" w:rsidP="004B7001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</w:p>
    <w:p w:rsidR="004B7001" w:rsidRPr="00B07EEA" w:rsidRDefault="004B7001" w:rsidP="004B700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4B7001" w:rsidRPr="00B07EEA" w:rsidTr="00C27D34">
        <w:trPr>
          <w:gridAfter w:val="1"/>
          <w:wAfter w:w="1331" w:type="dxa"/>
        </w:trPr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FB25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7001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001" w:rsidRPr="00B07EEA" w:rsidTr="004B7001">
        <w:tc>
          <w:tcPr>
            <w:tcW w:w="567" w:type="dxa"/>
          </w:tcPr>
          <w:p w:rsidR="004B7001" w:rsidRPr="00B07EEA" w:rsidRDefault="004B7001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4B7001" w:rsidRPr="00B07EEA" w:rsidRDefault="004B7001" w:rsidP="00C27D34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4B7001" w:rsidRPr="00B07EEA" w:rsidRDefault="004B7001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4B7001" w:rsidRPr="00B07EEA" w:rsidRDefault="004B7001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  <w:trHeight w:val="203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D3A" w:rsidRPr="00B07EEA" w:rsidTr="004B7001">
        <w:trPr>
          <w:gridAfter w:val="2"/>
          <w:wAfter w:w="1615" w:type="dxa"/>
        </w:trPr>
        <w:tc>
          <w:tcPr>
            <w:tcW w:w="56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F70D3A" w:rsidRPr="00B07EEA" w:rsidRDefault="00F70D3A" w:rsidP="00C27D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70D3A" w:rsidRPr="00B07EEA" w:rsidRDefault="00F70D3A" w:rsidP="00BB35F1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70D3A" w:rsidRPr="00B07EEA" w:rsidRDefault="00F70D3A" w:rsidP="00C27D34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004C2" w:rsidRDefault="00C5691F" w:rsidP="00587294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C55917" w:rsidRPr="00A004C2" w:rsidSect="00A85857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B1" w:rsidRDefault="005A72B1">
      <w:r>
        <w:separator/>
      </w:r>
    </w:p>
  </w:endnote>
  <w:endnote w:type="continuationSeparator" w:id="0">
    <w:p w:rsidR="005A72B1" w:rsidRDefault="005A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B1" w:rsidRDefault="005A72B1">
      <w:r>
        <w:separator/>
      </w:r>
    </w:p>
  </w:footnote>
  <w:footnote w:type="continuationSeparator" w:id="0">
    <w:p w:rsidR="005A72B1" w:rsidRDefault="005A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4F687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C27D34" w:rsidRDefault="004F687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C27D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85CC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34" w:rsidRDefault="00C27D3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B678A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14"/>
  </w:num>
  <w:num w:numId="12">
    <w:abstractNumId w:val="15"/>
  </w:num>
  <w:num w:numId="13">
    <w:abstractNumId w:val="18"/>
  </w:num>
  <w:num w:numId="14">
    <w:abstractNumId w:val="16"/>
  </w:num>
  <w:num w:numId="15">
    <w:abstractNumId w:val="23"/>
  </w:num>
  <w:num w:numId="16">
    <w:abstractNumId w:val="24"/>
  </w:num>
  <w:num w:numId="17">
    <w:abstractNumId w:val="20"/>
  </w:num>
  <w:num w:numId="18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7118"/>
    <w:rsid w:val="00017E38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E0AA3"/>
    <w:rsid w:val="000E1B84"/>
    <w:rsid w:val="000F1B94"/>
    <w:rsid w:val="000F4CF3"/>
    <w:rsid w:val="000F743F"/>
    <w:rsid w:val="00100773"/>
    <w:rsid w:val="001116D6"/>
    <w:rsid w:val="00112397"/>
    <w:rsid w:val="001136A3"/>
    <w:rsid w:val="00113E80"/>
    <w:rsid w:val="00121E90"/>
    <w:rsid w:val="00132B33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E7132"/>
    <w:rsid w:val="001F071D"/>
    <w:rsid w:val="001F22BD"/>
    <w:rsid w:val="001F60FA"/>
    <w:rsid w:val="0020263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1767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6B27"/>
    <w:rsid w:val="00424A61"/>
    <w:rsid w:val="00430F0D"/>
    <w:rsid w:val="00435514"/>
    <w:rsid w:val="004371B6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5CC7"/>
    <w:rsid w:val="004864AA"/>
    <w:rsid w:val="004901FD"/>
    <w:rsid w:val="00490954"/>
    <w:rsid w:val="00490B36"/>
    <w:rsid w:val="00495AB0"/>
    <w:rsid w:val="004A6A11"/>
    <w:rsid w:val="004A6ABB"/>
    <w:rsid w:val="004B2E58"/>
    <w:rsid w:val="004B7001"/>
    <w:rsid w:val="004B7126"/>
    <w:rsid w:val="004D0FF0"/>
    <w:rsid w:val="004E07FE"/>
    <w:rsid w:val="004E31B4"/>
    <w:rsid w:val="004E4D03"/>
    <w:rsid w:val="004F2105"/>
    <w:rsid w:val="004F28D2"/>
    <w:rsid w:val="004F6878"/>
    <w:rsid w:val="00501B63"/>
    <w:rsid w:val="0050406B"/>
    <w:rsid w:val="005040FD"/>
    <w:rsid w:val="0050462C"/>
    <w:rsid w:val="0050505C"/>
    <w:rsid w:val="005109CE"/>
    <w:rsid w:val="005118D5"/>
    <w:rsid w:val="005178E5"/>
    <w:rsid w:val="00520A94"/>
    <w:rsid w:val="0052160D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70C36"/>
    <w:rsid w:val="00575879"/>
    <w:rsid w:val="00581EA2"/>
    <w:rsid w:val="00582DA8"/>
    <w:rsid w:val="00587294"/>
    <w:rsid w:val="005901BF"/>
    <w:rsid w:val="005912E9"/>
    <w:rsid w:val="005A72B1"/>
    <w:rsid w:val="005A7C2D"/>
    <w:rsid w:val="005B0894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96E"/>
    <w:rsid w:val="006908A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F2"/>
    <w:rsid w:val="007121BC"/>
    <w:rsid w:val="00715AED"/>
    <w:rsid w:val="00716C20"/>
    <w:rsid w:val="0072025A"/>
    <w:rsid w:val="00731EC0"/>
    <w:rsid w:val="00732E33"/>
    <w:rsid w:val="00734FD7"/>
    <w:rsid w:val="00737C1A"/>
    <w:rsid w:val="00740610"/>
    <w:rsid w:val="00741441"/>
    <w:rsid w:val="00741E52"/>
    <w:rsid w:val="00746C9E"/>
    <w:rsid w:val="00751ACD"/>
    <w:rsid w:val="007544DE"/>
    <w:rsid w:val="0076270B"/>
    <w:rsid w:val="007638BA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9DF"/>
    <w:rsid w:val="007C3188"/>
    <w:rsid w:val="007C3E34"/>
    <w:rsid w:val="007D26EA"/>
    <w:rsid w:val="007D5016"/>
    <w:rsid w:val="007E0C09"/>
    <w:rsid w:val="007E1D22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7175E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54D4"/>
    <w:rsid w:val="009661A7"/>
    <w:rsid w:val="00980554"/>
    <w:rsid w:val="00983448"/>
    <w:rsid w:val="00984DA2"/>
    <w:rsid w:val="00984F9E"/>
    <w:rsid w:val="009920A5"/>
    <w:rsid w:val="009C2AE2"/>
    <w:rsid w:val="009C70EB"/>
    <w:rsid w:val="009E0976"/>
    <w:rsid w:val="009E0C69"/>
    <w:rsid w:val="009E172E"/>
    <w:rsid w:val="009E271D"/>
    <w:rsid w:val="009F25F6"/>
    <w:rsid w:val="009F268B"/>
    <w:rsid w:val="009F4B5B"/>
    <w:rsid w:val="009F7AB9"/>
    <w:rsid w:val="00A004C2"/>
    <w:rsid w:val="00A0695D"/>
    <w:rsid w:val="00A14024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C3937"/>
    <w:rsid w:val="00AD0358"/>
    <w:rsid w:val="00AD6747"/>
    <w:rsid w:val="00AE14E6"/>
    <w:rsid w:val="00AE1960"/>
    <w:rsid w:val="00AE3A68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27D34"/>
    <w:rsid w:val="00C35A58"/>
    <w:rsid w:val="00C35EE2"/>
    <w:rsid w:val="00C3651B"/>
    <w:rsid w:val="00C36DBD"/>
    <w:rsid w:val="00C40488"/>
    <w:rsid w:val="00C44FBE"/>
    <w:rsid w:val="00C523DF"/>
    <w:rsid w:val="00C53F75"/>
    <w:rsid w:val="00C5448C"/>
    <w:rsid w:val="00C55917"/>
    <w:rsid w:val="00C563B9"/>
    <w:rsid w:val="00C5691F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4A6F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6EB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6195"/>
    <w:rsid w:val="00D77569"/>
    <w:rsid w:val="00D826B9"/>
    <w:rsid w:val="00D871EE"/>
    <w:rsid w:val="00D939C3"/>
    <w:rsid w:val="00D96429"/>
    <w:rsid w:val="00DA09F9"/>
    <w:rsid w:val="00DA189B"/>
    <w:rsid w:val="00DB049B"/>
    <w:rsid w:val="00DC44F7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C34"/>
    <w:rsid w:val="00DF26DC"/>
    <w:rsid w:val="00DF2DCF"/>
    <w:rsid w:val="00E13F7C"/>
    <w:rsid w:val="00E17A6F"/>
    <w:rsid w:val="00E2646B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7AED"/>
    <w:rsid w:val="00F01DB1"/>
    <w:rsid w:val="00F02FB8"/>
    <w:rsid w:val="00F062C8"/>
    <w:rsid w:val="00F07E6E"/>
    <w:rsid w:val="00F111D1"/>
    <w:rsid w:val="00F12B8C"/>
    <w:rsid w:val="00F1717F"/>
    <w:rsid w:val="00F23296"/>
    <w:rsid w:val="00F233EA"/>
    <w:rsid w:val="00F270AB"/>
    <w:rsid w:val="00F3131B"/>
    <w:rsid w:val="00F36142"/>
    <w:rsid w:val="00F4342E"/>
    <w:rsid w:val="00F45B30"/>
    <w:rsid w:val="00F52D89"/>
    <w:rsid w:val="00F553CE"/>
    <w:rsid w:val="00F55D42"/>
    <w:rsid w:val="00F60443"/>
    <w:rsid w:val="00F65011"/>
    <w:rsid w:val="00F70D3A"/>
    <w:rsid w:val="00F74868"/>
    <w:rsid w:val="00F758DE"/>
    <w:rsid w:val="00F76AA7"/>
    <w:rsid w:val="00F8042F"/>
    <w:rsid w:val="00F8177C"/>
    <w:rsid w:val="00F8233F"/>
    <w:rsid w:val="00F834B6"/>
    <w:rsid w:val="00F83916"/>
    <w:rsid w:val="00F90229"/>
    <w:rsid w:val="00F93F6E"/>
    <w:rsid w:val="00FA43E3"/>
    <w:rsid w:val="00FA514F"/>
    <w:rsid w:val="00FA6D4F"/>
    <w:rsid w:val="00FB0E23"/>
    <w:rsid w:val="00FB25BE"/>
    <w:rsid w:val="00FC3CFB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0">
    <w:name w:val="Προεπιλεγμένη γραμματοσειρά4"/>
    <w:rsid w:val="00A85857"/>
  </w:style>
  <w:style w:type="character" w:customStyle="1" w:styleId="1Char1">
    <w:name w:val="Επικεφαλίδα 1 Char1"/>
    <w:basedOn w:val="40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85857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85857"/>
    <w:rPr>
      <w:sz w:val="24"/>
      <w:szCs w:val="24"/>
      <w:lang w:val="el-GR" w:bidi="ar-SA"/>
    </w:rPr>
  </w:style>
  <w:style w:type="character" w:styleId="a3">
    <w:name w:val="page number"/>
    <w:basedOn w:val="40"/>
    <w:rsid w:val="00A85857"/>
  </w:style>
  <w:style w:type="character" w:customStyle="1" w:styleId="Char2">
    <w:name w:val="Υποσέλιδο Char"/>
    <w:basedOn w:val="40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85857"/>
    <w:rPr>
      <w:vertAlign w:val="superscript"/>
    </w:rPr>
  </w:style>
  <w:style w:type="character" w:styleId="-">
    <w:name w:val="Hyperlink"/>
    <w:basedOn w:val="40"/>
    <w:uiPriority w:val="99"/>
    <w:rsid w:val="00A85857"/>
    <w:rPr>
      <w:color w:val="0000FF"/>
      <w:u w:val="single"/>
    </w:rPr>
  </w:style>
  <w:style w:type="character" w:styleId="a5">
    <w:name w:val="Strong"/>
    <w:basedOn w:val="40"/>
    <w:uiPriority w:val="22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0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85857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0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1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0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85857"/>
    <w:pPr>
      <w:numPr>
        <w:numId w:val="2"/>
      </w:num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9C55-6DFF-48D8-A3B9-336C781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7085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2022-12-20T11:23:00Z</cp:lastPrinted>
  <dcterms:created xsi:type="dcterms:W3CDTF">2022-12-09T10:49:00Z</dcterms:created>
  <dcterms:modified xsi:type="dcterms:W3CDTF">2022-12-20T11:32:00Z</dcterms:modified>
</cp:coreProperties>
</file>