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9D0C12" w:rsidRPr="009274E0" w:rsidRDefault="009D0C12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>
        <w:rPr>
          <w:rFonts w:ascii="Arial" w:eastAsia="Arial" w:hAnsi="Arial" w:cs="Arial"/>
          <w:b/>
          <w:bCs/>
          <w:sz w:val="22"/>
          <w:szCs w:val="22"/>
        </w:rPr>
        <w:t>2</w:t>
      </w:r>
      <w:r w:rsidR="008E61B3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01734B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561038" w:rsidRPr="001A27C1">
        <w:rPr>
          <w:rFonts w:ascii="Arial" w:eastAsia="Arial" w:hAnsi="Arial" w:cs="Arial"/>
          <w:b/>
          <w:bCs/>
          <w:sz w:val="22"/>
          <w:szCs w:val="22"/>
        </w:rPr>
        <w:t>12958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01734B" w:rsidRDefault="0001734B" w:rsidP="00017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23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/2022  ΤΑΚΤΙΚΗΣ ΜΕ ΤΗΛΕΔΙΑΣΚΕΨΗ  Συνεδρίασης</w:t>
      </w:r>
    </w:p>
    <w:p w:rsidR="0001734B" w:rsidRDefault="0001734B" w:rsidP="0001734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01734B" w:rsidRDefault="0001734B" w:rsidP="0001734B">
      <w:pPr>
        <w:rPr>
          <w:rFonts w:ascii="Arial" w:hAnsi="Arial" w:cs="Arial"/>
        </w:rPr>
      </w:pP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D03358">
        <w:rPr>
          <w:rFonts w:ascii="Arial" w:hAnsi="Arial" w:cs="Arial"/>
          <w:b/>
          <w:sz w:val="22"/>
          <w:szCs w:val="22"/>
        </w:rPr>
        <w:t>21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D03358" w:rsidRPr="00D03358" w:rsidRDefault="00D03358" w:rsidP="00D03358">
      <w:pPr>
        <w:rPr>
          <w:rFonts w:ascii="Arial" w:eastAsia="SimSun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D03358">
        <w:rPr>
          <w:rFonts w:ascii="Arial" w:eastAsia="SimSun" w:hAnsi="Arial" w:cs="Arial"/>
          <w:b/>
          <w:sz w:val="22"/>
          <w:szCs w:val="22"/>
        </w:rPr>
        <w:t xml:space="preserve">Αποδοχή της τροποποίησης της </w:t>
      </w:r>
      <w:proofErr w:type="spellStart"/>
      <w:r w:rsidRPr="00D03358">
        <w:rPr>
          <w:rFonts w:ascii="Arial" w:eastAsia="SimSun" w:hAnsi="Arial" w:cs="Arial"/>
          <w:b/>
          <w:sz w:val="22"/>
          <w:szCs w:val="22"/>
        </w:rPr>
        <w:t>υπ΄αριθ</w:t>
      </w:r>
      <w:proofErr w:type="spellEnd"/>
      <w:r w:rsidRPr="00D03358">
        <w:rPr>
          <w:rFonts w:ascii="Arial" w:eastAsia="SimSun" w:hAnsi="Arial" w:cs="Arial"/>
          <w:b/>
          <w:sz w:val="22"/>
          <w:szCs w:val="22"/>
        </w:rPr>
        <w:t xml:space="preserve">. 45/2021 </w:t>
      </w:r>
      <w:r w:rsidR="004E627C">
        <w:rPr>
          <w:rFonts w:ascii="Arial" w:eastAsia="SimSun" w:hAnsi="Arial" w:cs="Arial"/>
          <w:b/>
          <w:sz w:val="22"/>
          <w:szCs w:val="22"/>
        </w:rPr>
        <w:t>Τ</w:t>
      </w:r>
      <w:r w:rsidRPr="00D03358">
        <w:rPr>
          <w:rFonts w:ascii="Arial" w:eastAsia="SimSun" w:hAnsi="Arial" w:cs="Arial"/>
          <w:b/>
          <w:sz w:val="22"/>
          <w:szCs w:val="22"/>
        </w:rPr>
        <w:t>εχνικής Μελέτης: «</w:t>
      </w:r>
      <w:r w:rsidRPr="00D03358">
        <w:rPr>
          <w:rFonts w:ascii="Arial" w:eastAsia="SimSun" w:hAnsi="Arial" w:cs="Arial"/>
          <w:b/>
          <w:sz w:val="22"/>
          <w:szCs w:val="22"/>
          <w:lang w:val="en-US"/>
        </w:rPr>
        <w:t>O</w:t>
      </w:r>
      <w:r w:rsidRPr="00D03358">
        <w:rPr>
          <w:rFonts w:ascii="Arial" w:eastAsia="SimSun" w:hAnsi="Arial" w:cs="Arial"/>
          <w:b/>
          <w:sz w:val="22"/>
          <w:szCs w:val="22"/>
        </w:rPr>
        <w:t>ΛΟΚΛΗΡΩΣΗ ΟΔΟΠΟΙΪΑΣ ΚΥΡΙΑΚΙΟΥ – ΠΑΝΑΓΙΑ ΚΑΛΑΜΙΩΤΙΣΣΑ» ως προς την αλλαγή χάραξης τοπικά.</w:t>
      </w:r>
    </w:p>
    <w:p w:rsidR="00B17648" w:rsidRPr="00B17648" w:rsidRDefault="00B17648" w:rsidP="00B17648">
      <w:pPr>
        <w:rPr>
          <w:rFonts w:eastAsia="SimSun"/>
          <w:highlight w:val="white"/>
        </w:rPr>
      </w:pPr>
    </w:p>
    <w:p w:rsidR="0001734B" w:rsidRPr="0001734B" w:rsidRDefault="0001734B" w:rsidP="0001734B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>Στη Λιβαδειά σήμερα 19</w:t>
      </w:r>
      <w:r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</w:t>
      </w:r>
      <w:r w:rsidRPr="0001734B">
        <w:rPr>
          <w:rFonts w:ascii="Arial" w:hAnsi="Arial" w:cs="Arial"/>
          <w:sz w:val="22"/>
          <w:szCs w:val="22"/>
          <w:lang w:val="en-US"/>
        </w:rPr>
        <w:t>COVID</w:t>
      </w:r>
      <w:r w:rsidRPr="0001734B">
        <w:rPr>
          <w:rFonts w:ascii="Arial" w:hAnsi="Arial" w:cs="Arial"/>
          <w:sz w:val="22"/>
          <w:szCs w:val="22"/>
        </w:rPr>
        <w:t xml:space="preserve"> -19»  </w:t>
      </w:r>
      <w:r w:rsidRPr="0001734B">
        <w:rPr>
          <w:rFonts w:ascii="Arial" w:eastAsia="Arial" w:hAnsi="Arial" w:cs="Arial"/>
          <w:sz w:val="22"/>
          <w:szCs w:val="22"/>
        </w:rPr>
        <w:t xml:space="preserve">  </w:t>
      </w:r>
      <w:r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. 12392/15-07-2022 έγγραφη πρόσκληση του  Προέδρου της  &amp; Δημάρχου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>παρόντα έξι  (6),  ήτοι: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1734B" w:rsidRPr="0001734B" w:rsidRDefault="0001734B" w:rsidP="0001734B">
      <w:pPr>
        <w:jc w:val="both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color w:val="000000"/>
          <w:sz w:val="22"/>
          <w:szCs w:val="22"/>
        </w:rPr>
        <w:t>1</w:t>
      </w:r>
      <w:r w:rsidRPr="0001734B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 w:rsidRPr="0001734B">
        <w:rPr>
          <w:rFonts w:ascii="Arial" w:hAnsi="Arial" w:cs="Arial"/>
          <w:sz w:val="22"/>
          <w:szCs w:val="22"/>
        </w:rPr>
        <w:t>Πούλος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Ευάγγελος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01734B">
        <w:rPr>
          <w:rFonts w:ascii="Arial" w:hAnsi="Arial" w:cs="Arial"/>
          <w:sz w:val="22"/>
          <w:szCs w:val="22"/>
        </w:rPr>
        <w:t>Μητάς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  2. </w:t>
      </w:r>
      <w:proofErr w:type="spellStart"/>
      <w:r w:rsidRPr="0001734B">
        <w:rPr>
          <w:rFonts w:ascii="Arial" w:hAnsi="Arial" w:cs="Arial"/>
          <w:sz w:val="22"/>
          <w:szCs w:val="22"/>
        </w:rPr>
        <w:t>Μπράλιος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Νικόλαος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 w:rsidRPr="0001734B">
        <w:rPr>
          <w:rFonts w:ascii="Arial" w:hAnsi="Arial" w:cs="Arial"/>
          <w:sz w:val="22"/>
          <w:szCs w:val="22"/>
        </w:rPr>
        <w:t>Καλογρηά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Αθανασίου)      3.Καραμάνης Δημήτριος                                              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Pr="00783DA0" w:rsidRDefault="00DE377B" w:rsidP="0001734B">
      <w:pPr>
        <w:ind w:left="432" w:hanging="432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D03358">
        <w:rPr>
          <w:rFonts w:ascii="Arial" w:eastAsia="Arial" w:hAnsi="Arial" w:cs="Arial"/>
          <w:sz w:val="22"/>
          <w:szCs w:val="22"/>
        </w:rPr>
        <w:t>10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8D639D">
        <w:rPr>
          <w:rFonts w:ascii="Arial" w:hAnsi="Arial" w:cs="Arial"/>
          <w:sz w:val="22"/>
          <w:szCs w:val="22"/>
        </w:rPr>
        <w:t>1</w:t>
      </w:r>
      <w:r w:rsidR="00D03358">
        <w:rPr>
          <w:rFonts w:ascii="Arial" w:hAnsi="Arial" w:cs="Arial"/>
          <w:sz w:val="22"/>
          <w:szCs w:val="22"/>
        </w:rPr>
        <w:t>1595</w:t>
      </w:r>
      <w:r w:rsidR="008D639D" w:rsidRPr="003962B2">
        <w:rPr>
          <w:rFonts w:ascii="Arial" w:hAnsi="Arial" w:cs="Arial"/>
          <w:sz w:val="22"/>
          <w:szCs w:val="22"/>
        </w:rPr>
        <w:t>/</w:t>
      </w:r>
      <w:r w:rsidR="00D03358">
        <w:rPr>
          <w:rFonts w:ascii="Arial" w:hAnsi="Arial" w:cs="Arial"/>
          <w:sz w:val="22"/>
          <w:szCs w:val="22"/>
        </w:rPr>
        <w:t>05</w:t>
      </w:r>
      <w:r w:rsidR="008D639D" w:rsidRPr="003962B2">
        <w:rPr>
          <w:rFonts w:ascii="Arial" w:hAnsi="Arial" w:cs="Arial"/>
          <w:sz w:val="22"/>
          <w:szCs w:val="22"/>
        </w:rPr>
        <w:t>-0</w:t>
      </w:r>
      <w:r w:rsidR="008D639D" w:rsidRPr="008D639D">
        <w:rPr>
          <w:rFonts w:ascii="Arial" w:hAnsi="Arial" w:cs="Arial"/>
          <w:sz w:val="22"/>
          <w:szCs w:val="22"/>
        </w:rPr>
        <w:t>7</w:t>
      </w:r>
      <w:r w:rsidR="008D639D" w:rsidRPr="003962B2">
        <w:rPr>
          <w:rFonts w:ascii="Arial" w:hAnsi="Arial" w:cs="Arial"/>
          <w:sz w:val="22"/>
          <w:szCs w:val="22"/>
        </w:rPr>
        <w:t xml:space="preserve">-2022 </w:t>
      </w:r>
      <w:r>
        <w:rPr>
          <w:rFonts w:ascii="Arial" w:eastAsia="Arial" w:hAnsi="Arial" w:cs="Arial"/>
          <w:sz w:val="22"/>
          <w:szCs w:val="22"/>
        </w:rPr>
        <w:t xml:space="preserve">εισήγηση </w:t>
      </w:r>
      <w:r w:rsidR="00D03358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D03358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D03358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 w:rsidR="009D0C12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D03358" w:rsidRPr="00D03358" w:rsidRDefault="00557D7F" w:rsidP="00D03358">
      <w:p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</w:rPr>
        <w:t xml:space="preserve"> </w:t>
      </w:r>
      <w:r w:rsidR="008D639D" w:rsidRPr="00D03358">
        <w:rPr>
          <w:rFonts w:ascii="Arial" w:hAnsi="Arial" w:cs="Arial"/>
          <w:i/>
        </w:rPr>
        <w:t xml:space="preserve"> </w:t>
      </w:r>
    </w:p>
    <w:p w:rsidR="00D03358" w:rsidRPr="00D03358" w:rsidRDefault="00D03358" w:rsidP="00D03358">
      <w:pPr>
        <w:suppressAutoHyphens w:val="0"/>
        <w:jc w:val="both"/>
        <w:rPr>
          <w:rFonts w:ascii="Arial" w:hAnsi="Arial" w:cs="Arial"/>
          <w:i/>
        </w:rPr>
      </w:pPr>
      <w:r w:rsidRPr="00D03358">
        <w:rPr>
          <w:rFonts w:ascii="Arial" w:hAnsi="Arial" w:cs="Arial"/>
          <w:i/>
        </w:rPr>
        <w:t xml:space="preserve">Έχοντας λοιπόν υπόψη: </w:t>
      </w:r>
    </w:p>
    <w:p w:rsidR="00D03358" w:rsidRPr="00D03358" w:rsidRDefault="00D03358" w:rsidP="00D03358">
      <w:pPr>
        <w:pStyle w:val="af9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. 45/2021 μελέτη του έργου </w:t>
      </w:r>
      <w:r w:rsidRPr="00D03358">
        <w:rPr>
          <w:rFonts w:ascii="Arial" w:hAnsi="Arial" w:cs="Arial"/>
          <w:b/>
          <w:i/>
          <w:sz w:val="22"/>
          <w:szCs w:val="22"/>
        </w:rPr>
        <w:t xml:space="preserve">«ΟΛΟΚΛΗΡΩΣΗ ΟΔΟΠΟΙΙΑΣ ΚΥΡΙΑΚΙΟΥ – ΠΑΝΑΓΙΑ ΚΑΛΑΜΙΩΤΙΣΣΑ» </w:t>
      </w:r>
      <w:r w:rsidRPr="00D03358">
        <w:rPr>
          <w:rFonts w:ascii="Arial" w:hAnsi="Arial" w:cs="Arial"/>
          <w:i/>
          <w:sz w:val="22"/>
          <w:szCs w:val="22"/>
        </w:rPr>
        <w:t>καθώς και όλων των τευχών και των σχεδίων δημοπράτησης που τη συνοδεύουν.</w:t>
      </w:r>
    </w:p>
    <w:p w:rsidR="00D03358" w:rsidRPr="00D03358" w:rsidRDefault="00D03358" w:rsidP="00D03358">
      <w:pPr>
        <w:pStyle w:val="af9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. 158/2021 (ΑΔΑ: 6ΕΨΨΩΛΗ-ΡΒ1) απόφαση Οικονομικής Επιτροπής του Δήμου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 με την οποία έγινε αποδοχή της ως άνω μελέτης.</w:t>
      </w:r>
    </w:p>
    <w:p w:rsidR="00D03358" w:rsidRPr="00D03358" w:rsidRDefault="00D03358" w:rsidP="00D03358">
      <w:pPr>
        <w:pStyle w:val="af9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Την υπ’ αριθμ.5751/7-4-2022 Σύμβαση κατασκευής του έργου ποσού 749.094.39€ με ΦΠΑ </w:t>
      </w:r>
      <w:r w:rsidRPr="00D03358">
        <w:rPr>
          <w:rFonts w:ascii="Arial" w:hAnsi="Arial" w:cs="Arial"/>
          <w:b/>
          <w:i/>
          <w:sz w:val="22"/>
          <w:szCs w:val="22"/>
        </w:rPr>
        <w:t xml:space="preserve">«ΟΛΟΚΛΗΡΩΣΗ ΟΔΟΠΟΙΙΑΣ ΚΥΡΙΑΚΙΟΥ – ΠΑΝΑΓΙΑ ΚΑΛΑΜΙΩΤΙΣΣΑ» </w:t>
      </w:r>
      <w:r w:rsidRPr="00D03358">
        <w:rPr>
          <w:rFonts w:ascii="Arial" w:hAnsi="Arial" w:cs="Arial"/>
          <w:i/>
          <w:sz w:val="22"/>
          <w:szCs w:val="22"/>
        </w:rPr>
        <w:t xml:space="preserve">με τον ανάδοχο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κο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Γυφτοδήμο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 Ευάγγελο του Γεωργίου .</w:t>
      </w:r>
    </w:p>
    <w:p w:rsidR="00D03358" w:rsidRPr="00D03358" w:rsidRDefault="00D03358" w:rsidP="00D03358">
      <w:pPr>
        <w:pStyle w:val="af9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>Την από 21-5-2021 Τεχνική Περιγραφή στην οποία αναφέρεται ότι: «Η οδός έχει συντεταγμένες με αρχή Χ: 390672,1 και Υ: 4239743,7 και τέλος Χ: 391283,8 και Υ: 4238635,9».</w:t>
      </w:r>
    </w:p>
    <w:p w:rsidR="00D03358" w:rsidRPr="00D03358" w:rsidRDefault="00D03358" w:rsidP="00D03358">
      <w:pPr>
        <w:pStyle w:val="af9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>Το από Ιούνιο 2022 σχέδιο τροποποίησης άδειας επέμβασης (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>. Πινακίδας ½) στο οποίο εμφαίνεται η προτεινόμενη τροποποίηση χάραξης  (νέα χάραξη) με στοιχεία:</w:t>
      </w:r>
    </w:p>
    <w:p w:rsidR="00D03358" w:rsidRPr="00D03358" w:rsidRDefault="00D03358" w:rsidP="00D03358">
      <w:pPr>
        <w:pStyle w:val="af9"/>
        <w:rPr>
          <w:rFonts w:ascii="Arial" w:hAnsi="Arial" w:cs="Arial"/>
          <w:i/>
          <w:sz w:val="22"/>
          <w:szCs w:val="22"/>
        </w:rPr>
      </w:pPr>
    </w:p>
    <w:tbl>
      <w:tblPr>
        <w:tblStyle w:val="TableNormal"/>
        <w:tblW w:w="0" w:type="auto"/>
        <w:tblInd w:w="2785" w:type="dxa"/>
        <w:tblLayout w:type="fixed"/>
        <w:tblLook w:val="01E0"/>
      </w:tblPr>
      <w:tblGrid>
        <w:gridCol w:w="524"/>
        <w:gridCol w:w="1189"/>
        <w:gridCol w:w="1192"/>
      </w:tblGrid>
      <w:tr w:rsidR="00D03358" w:rsidRPr="00D03358" w:rsidTr="00BB774E">
        <w:trPr>
          <w:trHeight w:val="210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lastRenderedPageBreak/>
              <w:t>A1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390744.586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4239639.682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390748.514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4239638.928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390750.114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4239633.466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390750.359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4239629.424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A5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390751.225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4239625.286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A6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390756.711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4239615.968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A7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390760.653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4239604.648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A8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390766.295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4239590.024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2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A9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390767.462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4239581.369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A10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390775.263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4239556.311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A11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390788.788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4239539.703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A12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390778.181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4239534.407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A13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390776.520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4239529.477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A14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390775.995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4239517.578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A15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390783.609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4239519.734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A16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390784.669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4239516.758</w:t>
            </w:r>
          </w:p>
        </w:tc>
      </w:tr>
      <w:tr w:rsidR="00D03358" w:rsidRPr="00D03358" w:rsidTr="00BB774E">
        <w:trPr>
          <w:trHeight w:val="233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A17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390792.293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4239506.112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A18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390784.182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4239498.444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A19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390776.053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4239501.214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A20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390765.740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4239512.700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A21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390759.742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4239522.842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A22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390758.413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4239532.223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A23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390756.920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4239544.144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A24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390759.705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4239553.105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A25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390754.727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4239561.127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A26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390750.024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4239586.331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A27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390746.194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4239600.192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A28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390746.720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4239606.974</w:t>
            </w:r>
          </w:p>
        </w:tc>
      </w:tr>
      <w:tr w:rsidR="00D03358" w:rsidRPr="00D03358" w:rsidTr="00BB774E">
        <w:trPr>
          <w:trHeight w:val="234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A29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390743.944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4239623.156</w:t>
            </w:r>
          </w:p>
        </w:tc>
      </w:tr>
      <w:tr w:rsidR="00D03358" w:rsidRPr="00D03358" w:rsidTr="00BB774E">
        <w:trPr>
          <w:trHeight w:val="209"/>
        </w:trPr>
        <w:tc>
          <w:tcPr>
            <w:tcW w:w="524" w:type="dxa"/>
            <w:hideMark/>
          </w:tcPr>
          <w:p w:rsidR="00D03358" w:rsidRPr="00D03358" w:rsidRDefault="00D03358" w:rsidP="00BB774E">
            <w:pPr>
              <w:pStyle w:val="TableParagraph"/>
              <w:spacing w:line="164" w:lineRule="exact"/>
              <w:ind w:right="133"/>
              <w:jc w:val="righ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A30</w:t>
            </w:r>
          </w:p>
        </w:tc>
        <w:tc>
          <w:tcPr>
            <w:tcW w:w="1189" w:type="dxa"/>
            <w:hideMark/>
          </w:tcPr>
          <w:p w:rsidR="00D03358" w:rsidRPr="00D03358" w:rsidRDefault="00D03358" w:rsidP="00BB774E">
            <w:pPr>
              <w:pStyle w:val="TableParagraph"/>
              <w:spacing w:line="164" w:lineRule="exact"/>
              <w:ind w:left="110" w:righ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390744.933</w:t>
            </w:r>
          </w:p>
        </w:tc>
        <w:tc>
          <w:tcPr>
            <w:tcW w:w="1192" w:type="dxa"/>
            <w:hideMark/>
          </w:tcPr>
          <w:p w:rsidR="00D03358" w:rsidRPr="00D03358" w:rsidRDefault="00D03358" w:rsidP="00BB774E">
            <w:pPr>
              <w:pStyle w:val="TableParagraph"/>
              <w:spacing w:line="164" w:lineRule="exact"/>
              <w:ind w:left="64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4239633.731</w:t>
            </w:r>
          </w:p>
        </w:tc>
      </w:tr>
    </w:tbl>
    <w:p w:rsidR="00D03358" w:rsidRPr="00D03358" w:rsidRDefault="00D03358" w:rsidP="00D03358">
      <w:pPr>
        <w:pStyle w:val="ad"/>
        <w:ind w:right="84"/>
        <w:rPr>
          <w:rFonts w:ascii="Arial" w:hAnsi="Arial" w:cs="Arial"/>
          <w:b/>
          <w:i/>
          <w:w w:val="80"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Που βρίσκεται εντός του συνολικού τμήματος της οδού και έχει εμβαδόν </w:t>
      </w:r>
      <w:r w:rsidRPr="00D03358">
        <w:rPr>
          <w:rFonts w:ascii="Arial" w:hAnsi="Arial" w:cs="Arial"/>
          <w:b/>
          <w:i/>
          <w:w w:val="90"/>
          <w:sz w:val="22"/>
          <w:szCs w:val="22"/>
        </w:rPr>
        <w:t>E=2302.59</w:t>
      </w:r>
      <w:r w:rsidRPr="00D03358">
        <w:rPr>
          <w:rFonts w:ascii="Arial" w:hAnsi="Arial" w:cs="Arial"/>
          <w:b/>
          <w:i/>
          <w:spacing w:val="4"/>
          <w:w w:val="90"/>
          <w:sz w:val="22"/>
          <w:szCs w:val="22"/>
        </w:rPr>
        <w:t xml:space="preserve"> </w:t>
      </w:r>
      <w:r w:rsidRPr="00D03358">
        <w:rPr>
          <w:rFonts w:ascii="Arial" w:hAnsi="Arial" w:cs="Arial"/>
          <w:b/>
          <w:i/>
          <w:w w:val="80"/>
          <w:sz w:val="22"/>
          <w:szCs w:val="22"/>
        </w:rPr>
        <w:t>τμ.</w:t>
      </w:r>
    </w:p>
    <w:p w:rsidR="00D03358" w:rsidRPr="00D03358" w:rsidRDefault="00D03358" w:rsidP="00D03358">
      <w:pPr>
        <w:pStyle w:val="ad"/>
        <w:ind w:right="84"/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>Καθώς και το τμήμα της παλιάς χάραξης που υπήρχε μία τυπική διάνοιξη με στοιχεία</w:t>
      </w:r>
    </w:p>
    <w:tbl>
      <w:tblPr>
        <w:tblStyle w:val="TableNormal"/>
        <w:tblW w:w="0" w:type="auto"/>
        <w:tblInd w:w="2917" w:type="dxa"/>
        <w:tblLayout w:type="fixed"/>
        <w:tblLook w:val="01E0"/>
      </w:tblPr>
      <w:tblGrid>
        <w:gridCol w:w="466"/>
        <w:gridCol w:w="1061"/>
        <w:gridCol w:w="1065"/>
      </w:tblGrid>
      <w:tr w:rsidR="00D03358" w:rsidRPr="00D03358" w:rsidTr="00BB774E">
        <w:trPr>
          <w:trHeight w:val="201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ind w:left="29" w:right="2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A6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390756.711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0" w:line="177" w:lineRule="exac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4239615.968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A31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390765.322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4239628.018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A32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390766.869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4239620.540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A33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390774.108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4239601.727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A34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390776.902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4239591.979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A35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390788.379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4239577.264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A36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390816.546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4239535.627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A37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390819.319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4239533.536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A38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390832.255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4239516.414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A39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390836.918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4239509.945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A40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390848.481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4239498.357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A41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390864.004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4239482.278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A42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390873.172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4239466.604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A43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390871.698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4239460.396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A44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390865.709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4239457.352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A45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390858.427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4239448.513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A46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390854.961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4239453.024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A47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390841.470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4239467.794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A48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390824.751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4239485.077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A49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390808.410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4239503.850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A50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390793.709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4239519.814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A51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390790.914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4239525.930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A11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390788.788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4239539.703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111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A10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390775.263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4239556.311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left="29" w:right="2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A9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390767.462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4239581.369</w:t>
            </w:r>
          </w:p>
        </w:tc>
      </w:tr>
      <w:tr w:rsidR="00D03358" w:rsidRPr="00D03358" w:rsidTr="00BB774E">
        <w:trPr>
          <w:trHeight w:val="226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ind w:left="29" w:right="2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A8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390766.295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4239590.024</w:t>
            </w:r>
          </w:p>
        </w:tc>
      </w:tr>
      <w:tr w:rsidR="00D03358" w:rsidRPr="00D03358" w:rsidTr="00BB774E">
        <w:trPr>
          <w:trHeight w:val="202"/>
        </w:trPr>
        <w:tc>
          <w:tcPr>
            <w:tcW w:w="466" w:type="dxa"/>
            <w:hideMark/>
          </w:tcPr>
          <w:p w:rsidR="00D03358" w:rsidRPr="00D03358" w:rsidRDefault="00D03358" w:rsidP="00BB774E">
            <w:pPr>
              <w:pStyle w:val="TableParagraph"/>
              <w:spacing w:before="19" w:line="164" w:lineRule="exact"/>
              <w:ind w:left="29" w:right="29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A7</w:t>
            </w:r>
          </w:p>
        </w:tc>
        <w:tc>
          <w:tcPr>
            <w:tcW w:w="1061" w:type="dxa"/>
            <w:hideMark/>
          </w:tcPr>
          <w:p w:rsidR="00D03358" w:rsidRPr="00D03358" w:rsidRDefault="00D03358" w:rsidP="00BB774E">
            <w:pPr>
              <w:pStyle w:val="TableParagraph"/>
              <w:spacing w:before="19" w:line="164" w:lineRule="exact"/>
              <w:ind w:right="88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390760.653</w:t>
            </w:r>
          </w:p>
        </w:tc>
        <w:tc>
          <w:tcPr>
            <w:tcW w:w="1065" w:type="dxa"/>
            <w:hideMark/>
          </w:tcPr>
          <w:p w:rsidR="00D03358" w:rsidRPr="00D03358" w:rsidRDefault="00D03358" w:rsidP="00BB774E">
            <w:pPr>
              <w:pStyle w:val="TableParagraph"/>
              <w:spacing w:before="19" w:line="164" w:lineRule="exact"/>
              <w:rPr>
                <w:rFonts w:ascii="Arial" w:hAnsi="Arial" w:cs="Arial"/>
                <w:i/>
                <w:sz w:val="16"/>
              </w:rPr>
            </w:pPr>
            <w:r w:rsidRPr="00D03358">
              <w:rPr>
                <w:rFonts w:ascii="Arial" w:hAnsi="Arial" w:cs="Arial"/>
                <w:i/>
                <w:sz w:val="16"/>
              </w:rPr>
              <w:t>4239604.648</w:t>
            </w:r>
          </w:p>
        </w:tc>
      </w:tr>
    </w:tbl>
    <w:p w:rsidR="00D03358" w:rsidRPr="00D03358" w:rsidRDefault="00D03358" w:rsidP="00D03358">
      <w:pPr>
        <w:pStyle w:val="af9"/>
        <w:rPr>
          <w:rFonts w:ascii="Arial" w:hAnsi="Arial" w:cs="Arial"/>
          <w:b/>
          <w:i/>
          <w:w w:val="80"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και έχει εμβαδόν </w:t>
      </w:r>
      <w:r w:rsidRPr="00D03358">
        <w:rPr>
          <w:rFonts w:ascii="Arial" w:hAnsi="Arial" w:cs="Arial"/>
          <w:b/>
          <w:i/>
          <w:w w:val="90"/>
          <w:sz w:val="22"/>
          <w:szCs w:val="22"/>
        </w:rPr>
        <w:t>E=4276.82</w:t>
      </w:r>
      <w:r w:rsidRPr="00D03358">
        <w:rPr>
          <w:rFonts w:ascii="Arial" w:hAnsi="Arial" w:cs="Arial"/>
          <w:i/>
          <w:spacing w:val="2"/>
          <w:w w:val="90"/>
        </w:rPr>
        <w:t xml:space="preserve"> </w:t>
      </w:r>
      <w:r w:rsidRPr="00D03358">
        <w:rPr>
          <w:rFonts w:ascii="Arial" w:hAnsi="Arial" w:cs="Arial"/>
          <w:b/>
          <w:i/>
          <w:w w:val="80"/>
          <w:sz w:val="22"/>
          <w:szCs w:val="22"/>
        </w:rPr>
        <w:t>τμ.</w:t>
      </w:r>
    </w:p>
    <w:p w:rsidR="00D03358" w:rsidRPr="00D03358" w:rsidRDefault="00D03358" w:rsidP="00D03358">
      <w:pPr>
        <w:pStyle w:val="af9"/>
        <w:numPr>
          <w:ilvl w:val="0"/>
          <w:numId w:val="47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lastRenderedPageBreak/>
        <w:t xml:space="preserve">Το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>. 4</w:t>
      </w:r>
      <w:r w:rsidRPr="00D03358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D03358">
        <w:rPr>
          <w:rFonts w:ascii="Arial" w:hAnsi="Arial" w:cs="Arial"/>
          <w:i/>
          <w:sz w:val="22"/>
          <w:szCs w:val="22"/>
        </w:rPr>
        <w:t xml:space="preserve"> Πρακτικό της συνεδρίασης της 22/6/2022, θέμα 3 του Τεχνικού Συμβουλίου Δημοσίων Έργων Περιφερειακής Ενότητας Βοιωτίας.</w:t>
      </w:r>
    </w:p>
    <w:p w:rsidR="00D03358" w:rsidRPr="00D03358" w:rsidRDefault="00D03358" w:rsidP="00D03358">
      <w:p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Προτείνεται η τροποποίηση (τοπικά) της οδοποιίας  του έργου </w:t>
      </w:r>
      <w:r w:rsidRPr="00D03358">
        <w:rPr>
          <w:rFonts w:ascii="Arial" w:hAnsi="Arial" w:cs="Arial"/>
          <w:b/>
          <w:i/>
          <w:sz w:val="22"/>
          <w:szCs w:val="22"/>
        </w:rPr>
        <w:t xml:space="preserve">«ΟΛΟΚΛΗΡΩΣΗ ΟΔΟΠΟΙΙΑΣ ΚΥΡΙΑΚΙΟΥ – ΠΑΝΑΓΙΑ ΚΑΛΑΜΙΩΤΙΣΣΑ» </w:t>
      </w:r>
      <w:r w:rsidRPr="00D03358">
        <w:rPr>
          <w:rFonts w:ascii="Arial" w:hAnsi="Arial" w:cs="Arial"/>
          <w:i/>
          <w:sz w:val="22"/>
          <w:szCs w:val="22"/>
        </w:rPr>
        <w:t>στοχεύοντας στα κάτωθι:</w:t>
      </w:r>
    </w:p>
    <w:p w:rsidR="00D03358" w:rsidRPr="00D03358" w:rsidRDefault="00D03358" w:rsidP="00D03358">
      <w:pPr>
        <w:pStyle w:val="af9"/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Βελτιώνεται η γεωμετρία του δρόμου αφού καταργούνται δύο συνεχόμενοι ελιγμοί ( έντονες με οριακές ακτίνες καμπυλότητας) και αντικαθίστανται από ευθύγραμμο τμήμα κλίσης της τάξεως του 10%, της προτεινόμενης χάραξης. Η ανωτέρω κλίση είναι ιδανική για λοφώδες έδαφος καθώς οι φόρτοι στην συγκεκριμένοι οδό είναι πολλοί χαμηλοί (Παράρτημα ΟΜΟΕ –Δ- 2. Οδοί με ενιαία επιφάνεια κυκλοφορίας). </w:t>
      </w:r>
    </w:p>
    <w:p w:rsidR="00D03358" w:rsidRPr="00D03358" w:rsidRDefault="00D03358" w:rsidP="00D03358">
      <w:pPr>
        <w:pStyle w:val="af9"/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>Βελτιώνεται η ασφάλεια κίνησης των οχημάτων.</w:t>
      </w:r>
    </w:p>
    <w:p w:rsidR="00D03358" w:rsidRPr="00D03358" w:rsidRDefault="00D03358" w:rsidP="00D03358">
      <w:pPr>
        <w:pStyle w:val="af9"/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Ωφελείται το περιβάλλον αφού η επιφάνεια επέμβασης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απομειώνεται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 και αποδίδεται στο περιβάλλον επιφάνεια Ε= </w:t>
      </w:r>
      <w:r w:rsidRPr="00D03358">
        <w:rPr>
          <w:rFonts w:ascii="Arial" w:hAnsi="Arial" w:cs="Arial"/>
          <w:i/>
          <w:w w:val="90"/>
          <w:sz w:val="22"/>
          <w:szCs w:val="22"/>
        </w:rPr>
        <w:t>4276.82</w:t>
      </w:r>
      <w:r w:rsidRPr="00D03358">
        <w:rPr>
          <w:rFonts w:ascii="Arial" w:hAnsi="Arial" w:cs="Arial"/>
          <w:i/>
          <w:spacing w:val="2"/>
          <w:w w:val="90"/>
          <w:sz w:val="22"/>
          <w:szCs w:val="22"/>
        </w:rPr>
        <w:t xml:space="preserve"> -</w:t>
      </w:r>
      <w:r w:rsidRPr="00D03358">
        <w:rPr>
          <w:rFonts w:ascii="Arial" w:hAnsi="Arial" w:cs="Arial"/>
          <w:i/>
          <w:w w:val="90"/>
          <w:sz w:val="22"/>
          <w:szCs w:val="22"/>
        </w:rPr>
        <w:t>2302.59</w:t>
      </w:r>
      <w:r w:rsidRPr="00D03358">
        <w:rPr>
          <w:rFonts w:ascii="Arial" w:hAnsi="Arial" w:cs="Arial"/>
          <w:b/>
          <w:i/>
          <w:spacing w:val="4"/>
          <w:w w:val="90"/>
          <w:sz w:val="22"/>
          <w:szCs w:val="22"/>
        </w:rPr>
        <w:t xml:space="preserve"> =</w:t>
      </w:r>
      <w:r w:rsidRPr="00D03358">
        <w:rPr>
          <w:rFonts w:ascii="Arial" w:hAnsi="Arial" w:cs="Arial"/>
          <w:i/>
          <w:sz w:val="22"/>
          <w:szCs w:val="22"/>
        </w:rPr>
        <w:t>1974,23τμ που αναδασώνεται.</w:t>
      </w:r>
    </w:p>
    <w:p w:rsidR="00D03358" w:rsidRPr="00D03358" w:rsidRDefault="00D03358" w:rsidP="00D03358">
      <w:p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>Προτείνεται τα μέλη της Οικονομικής Επιτροπής:</w:t>
      </w:r>
    </w:p>
    <w:p w:rsidR="00D03358" w:rsidRPr="00D03358" w:rsidRDefault="00D03358" w:rsidP="00D03358">
      <w:p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Η τοπική τροποποίηση της υπ’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. 45/2021 μελέτης του έργου </w:t>
      </w:r>
      <w:r w:rsidRPr="00D03358">
        <w:rPr>
          <w:rFonts w:ascii="Arial" w:hAnsi="Arial" w:cs="Arial"/>
          <w:b/>
          <w:i/>
          <w:sz w:val="22"/>
          <w:szCs w:val="22"/>
        </w:rPr>
        <w:t>«ΟΛΟΚΛΗΡΩΣΗ ΟΔΟΠΟΙΙΑΣ ΚΥΡΙΑΚΙΟΥ – ΠΑΝΑΓΙΑ ΚΑΛΑΜΙΩΤΙΣΣΑ»</w:t>
      </w:r>
      <w:r w:rsidRPr="00D03358">
        <w:rPr>
          <w:rFonts w:ascii="Arial" w:hAnsi="Arial" w:cs="Arial"/>
          <w:i/>
          <w:sz w:val="22"/>
          <w:szCs w:val="22"/>
        </w:rPr>
        <w:t xml:space="preserve"> λόγω των ανωτέρω.</w:t>
      </w:r>
    </w:p>
    <w:p w:rsidR="00D03358" w:rsidRPr="00D03358" w:rsidRDefault="00D03358" w:rsidP="00D03358">
      <w:pPr>
        <w:rPr>
          <w:rFonts w:ascii="Arial" w:hAnsi="Arial" w:cs="Arial"/>
          <w:i/>
          <w:sz w:val="22"/>
          <w:szCs w:val="22"/>
        </w:rPr>
      </w:pPr>
      <w:r w:rsidRPr="00D03358">
        <w:rPr>
          <w:rFonts w:ascii="Arial" w:hAnsi="Arial" w:cs="Arial"/>
          <w:i/>
          <w:sz w:val="22"/>
          <w:szCs w:val="22"/>
        </w:rPr>
        <w:t xml:space="preserve">Η Τεχνική Υπηρεσία θα μεριμνήσει για όλες της απαιτούμενες τροποποιήσεις </w:t>
      </w:r>
      <w:proofErr w:type="spellStart"/>
      <w:r w:rsidRPr="00D03358">
        <w:rPr>
          <w:rFonts w:ascii="Arial" w:hAnsi="Arial" w:cs="Arial"/>
          <w:i/>
          <w:sz w:val="22"/>
          <w:szCs w:val="22"/>
        </w:rPr>
        <w:t>αδειοδοτήσεων</w:t>
      </w:r>
      <w:proofErr w:type="spellEnd"/>
      <w:r w:rsidRPr="00D03358">
        <w:rPr>
          <w:rFonts w:ascii="Arial" w:hAnsi="Arial" w:cs="Arial"/>
          <w:i/>
          <w:sz w:val="22"/>
          <w:szCs w:val="22"/>
        </w:rPr>
        <w:t xml:space="preserve"> προκειμένου το έργο να είναι σύννομο.</w:t>
      </w:r>
    </w:p>
    <w:p w:rsidR="004E627C" w:rsidRDefault="004E627C" w:rsidP="0082660B">
      <w:pPr>
        <w:rPr>
          <w:rFonts w:ascii="Arial" w:hAnsi="Arial" w:cs="Arial"/>
          <w:i/>
          <w:sz w:val="22"/>
          <w:szCs w:val="22"/>
        </w:rPr>
      </w:pPr>
    </w:p>
    <w:p w:rsidR="009274E0" w:rsidRPr="007E5B50" w:rsidRDefault="005D55B8" w:rsidP="0082660B">
      <w:pPr>
        <w:rPr>
          <w:rFonts w:ascii="Arial" w:eastAsia="Arial" w:hAnsi="Arial" w:cs="Arial"/>
          <w:sz w:val="22"/>
          <w:szCs w:val="22"/>
        </w:rPr>
      </w:pPr>
      <w:r w:rsidRPr="005D55B8">
        <w:rPr>
          <w:rFonts w:ascii="Arial" w:hAnsi="Arial" w:cs="Arial"/>
          <w:sz w:val="22"/>
          <w:szCs w:val="22"/>
        </w:rPr>
        <w:t xml:space="preserve">  </w:t>
      </w:r>
      <w:r w:rsidR="007E5B50" w:rsidRPr="007E5B50">
        <w:rPr>
          <w:rFonts w:ascii="Arial" w:hAnsi="Arial" w:cs="Arial"/>
          <w:sz w:val="22"/>
          <w:szCs w:val="22"/>
        </w:rPr>
        <w:t xml:space="preserve"> Ακολούθως αφού πήρε το λόγο ο κ. </w:t>
      </w:r>
      <w:proofErr w:type="spellStart"/>
      <w:r w:rsidR="007E5B50" w:rsidRPr="007E5B50">
        <w:rPr>
          <w:rFonts w:ascii="Arial" w:hAnsi="Arial" w:cs="Arial"/>
          <w:sz w:val="22"/>
          <w:szCs w:val="22"/>
        </w:rPr>
        <w:t>Καπλάνης</w:t>
      </w:r>
      <w:proofErr w:type="spellEnd"/>
      <w:r w:rsidR="007E5B50" w:rsidRPr="007E5B50">
        <w:rPr>
          <w:rFonts w:ascii="Arial" w:hAnsi="Arial" w:cs="Arial"/>
          <w:sz w:val="22"/>
          <w:szCs w:val="22"/>
        </w:rPr>
        <w:t xml:space="preserve"> Κωνσταντίνος εξέφρασε την αντίθεσή του </w:t>
      </w:r>
      <w:r w:rsidR="007E5B50" w:rsidRPr="007E5B50">
        <w:rPr>
          <w:rFonts w:ascii="Arial" w:eastAsia="Arial" w:hAnsi="Arial" w:cs="Arial"/>
          <w:sz w:val="22"/>
          <w:szCs w:val="22"/>
        </w:rPr>
        <w:t xml:space="preserve"> στο γεγονός ότι δεν υπήρξε </w:t>
      </w:r>
      <w:proofErr w:type="spellStart"/>
      <w:r w:rsidR="007E5B50" w:rsidRPr="007E5B50">
        <w:rPr>
          <w:rFonts w:ascii="Arial" w:eastAsia="Arial" w:hAnsi="Arial" w:cs="Arial"/>
          <w:sz w:val="22"/>
          <w:szCs w:val="22"/>
        </w:rPr>
        <w:t>επικαιροποίηση</w:t>
      </w:r>
      <w:proofErr w:type="spellEnd"/>
      <w:r w:rsidR="007E5B50" w:rsidRPr="007E5B50">
        <w:rPr>
          <w:rFonts w:ascii="Arial" w:eastAsia="Arial" w:hAnsi="Arial" w:cs="Arial"/>
          <w:sz w:val="22"/>
          <w:szCs w:val="22"/>
        </w:rPr>
        <w:t xml:space="preserve"> της εν λόγω μελέτης από την Οικονομική Επιτροπή ή το Δημοτικό Συμβούλιο και δεν μπορεί να νομιμοποιήσει το έργο έτσι όπως προτείνεται από τον Δ/</w:t>
      </w:r>
      <w:proofErr w:type="spellStart"/>
      <w:r w:rsidR="007E5B50" w:rsidRPr="007E5B50">
        <w:rPr>
          <w:rFonts w:ascii="Arial" w:eastAsia="Arial" w:hAnsi="Arial" w:cs="Arial"/>
          <w:sz w:val="22"/>
          <w:szCs w:val="22"/>
        </w:rPr>
        <w:t>ντή</w:t>
      </w:r>
      <w:proofErr w:type="spellEnd"/>
      <w:r w:rsidR="007E5B50" w:rsidRPr="007E5B50">
        <w:rPr>
          <w:rFonts w:ascii="Arial" w:eastAsia="Arial" w:hAnsi="Arial" w:cs="Arial"/>
          <w:sz w:val="22"/>
          <w:szCs w:val="22"/>
        </w:rPr>
        <w:t xml:space="preserve"> των Τεχνικών Υπηρεσιών γιατί </w:t>
      </w:r>
      <w:r w:rsidR="007E5B50">
        <w:rPr>
          <w:rFonts w:ascii="Arial" w:eastAsia="Arial" w:hAnsi="Arial" w:cs="Arial"/>
          <w:sz w:val="22"/>
          <w:szCs w:val="22"/>
        </w:rPr>
        <w:t>η τροποποίηση έρχεται εκ των υστέρων στην Οικονομική Επιτροπή.</w:t>
      </w:r>
      <w:r w:rsidR="009274E0" w:rsidRPr="007E5B50">
        <w:rPr>
          <w:rFonts w:ascii="Arial" w:eastAsia="Arial" w:hAnsi="Arial" w:cs="Arial"/>
          <w:sz w:val="22"/>
          <w:szCs w:val="22"/>
        </w:rPr>
        <w:tab/>
      </w:r>
    </w:p>
    <w:p w:rsidR="00D03358" w:rsidRPr="007E5B50" w:rsidRDefault="00D03358" w:rsidP="0082660B">
      <w:pPr>
        <w:rPr>
          <w:rFonts w:ascii="Arial" w:eastAsia="Arial" w:hAnsi="Arial" w:cs="Arial"/>
          <w:b/>
          <w:sz w:val="20"/>
          <w:szCs w:val="20"/>
        </w:rPr>
      </w:pPr>
    </w:p>
    <w:p w:rsidR="00F278FF" w:rsidRPr="007B5661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D639D" w:rsidRPr="007B5661" w:rsidRDefault="008D639D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D639D" w:rsidRPr="003A1D0E" w:rsidRDefault="008D639D" w:rsidP="008D639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8D639D" w:rsidRPr="003A1D0E" w:rsidRDefault="008D639D" w:rsidP="008D639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D639D" w:rsidRPr="003A1D0E" w:rsidRDefault="008D639D" w:rsidP="008D639D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D639D" w:rsidRDefault="008D639D" w:rsidP="008D639D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4E627C" w:rsidRPr="004E627C" w:rsidRDefault="004E627C" w:rsidP="008D639D">
      <w:pPr>
        <w:jc w:val="both"/>
        <w:rPr>
          <w:rFonts w:ascii="Arial" w:hAnsi="Arial" w:cs="Arial"/>
          <w:sz w:val="22"/>
          <w:szCs w:val="22"/>
        </w:rPr>
      </w:pPr>
      <w:r w:rsidRPr="004E627C">
        <w:rPr>
          <w:rFonts w:ascii="Arial" w:hAnsi="Arial" w:cs="Arial"/>
          <w:sz w:val="22"/>
          <w:szCs w:val="22"/>
        </w:rPr>
        <w:t xml:space="preserve">- Την </w:t>
      </w:r>
      <w:proofErr w:type="spellStart"/>
      <w:r w:rsidRPr="004E627C">
        <w:rPr>
          <w:rFonts w:ascii="Arial" w:hAnsi="Arial" w:cs="Arial"/>
          <w:sz w:val="22"/>
          <w:szCs w:val="22"/>
        </w:rPr>
        <w:t>υπ΄αριθμ</w:t>
      </w:r>
      <w:proofErr w:type="spellEnd"/>
      <w:r w:rsidRPr="004E627C">
        <w:rPr>
          <w:rFonts w:ascii="Arial" w:hAnsi="Arial" w:cs="Arial"/>
          <w:sz w:val="22"/>
          <w:szCs w:val="22"/>
        </w:rPr>
        <w:t>. 45/2021 μελέτη του έργου «ΟΛΟΚΛΗΡΩΣΗ ΟΔΟΠΟΙΙΑΣ ΚΥΡΙΑΚΙΟΥ – ΠΑΝΑΓΙΑ ΚΑΛΑΜΙΩΤΙΣΣΑ»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προϋπολογισμού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805AA">
        <w:rPr>
          <w:rFonts w:ascii="Arial" w:hAnsi="Arial" w:cs="Arial"/>
          <w:bCs/>
          <w:color w:val="000000"/>
          <w:sz w:val="22"/>
          <w:szCs w:val="22"/>
          <w:highlight w:val="white"/>
        </w:rPr>
        <w:t>990.000,00 €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συ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>μπεριλαμβανομένου του Φ.Π.Α. 24%</w:t>
      </w:r>
    </w:p>
    <w:p w:rsidR="00AB1DCB" w:rsidRDefault="008D639D" w:rsidP="008D63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DCB">
        <w:rPr>
          <w:rFonts w:ascii="Arial" w:hAnsi="Arial" w:cs="Arial"/>
          <w:color w:val="00000A"/>
          <w:sz w:val="22"/>
          <w:szCs w:val="22"/>
        </w:rPr>
        <w:t>-</w:t>
      </w:r>
      <w:r w:rsidR="00D03358" w:rsidRPr="00AB1DCB">
        <w:rPr>
          <w:rFonts w:ascii="Arial" w:hAnsi="Arial" w:cs="Arial"/>
          <w:sz w:val="22"/>
          <w:szCs w:val="22"/>
        </w:rPr>
        <w:t xml:space="preserve"> Την υπ’ </w:t>
      </w:r>
      <w:proofErr w:type="spellStart"/>
      <w:r w:rsidR="00D03358" w:rsidRPr="00AB1DCB">
        <w:rPr>
          <w:rFonts w:ascii="Arial" w:hAnsi="Arial" w:cs="Arial"/>
          <w:sz w:val="22"/>
          <w:szCs w:val="22"/>
        </w:rPr>
        <w:t>αριθμ</w:t>
      </w:r>
      <w:proofErr w:type="spellEnd"/>
      <w:r w:rsidR="00D03358" w:rsidRPr="00AB1DCB">
        <w:rPr>
          <w:rFonts w:ascii="Arial" w:hAnsi="Arial" w:cs="Arial"/>
          <w:sz w:val="22"/>
          <w:szCs w:val="22"/>
        </w:rPr>
        <w:t>. 158/2021 (ΑΔΑ: 6ΕΨΨΩΛΗ-ΡΒ1) απόφασ</w:t>
      </w:r>
      <w:r w:rsidR="00AB1DCB" w:rsidRPr="00AB1DCB">
        <w:rPr>
          <w:rFonts w:ascii="Arial" w:hAnsi="Arial" w:cs="Arial"/>
          <w:sz w:val="22"/>
          <w:szCs w:val="22"/>
        </w:rPr>
        <w:t>ή της</w:t>
      </w:r>
      <w:r w:rsidR="00D03358" w:rsidRPr="00AB1DCB">
        <w:rPr>
          <w:rFonts w:ascii="Arial" w:hAnsi="Arial" w:cs="Arial"/>
          <w:sz w:val="22"/>
          <w:szCs w:val="22"/>
        </w:rPr>
        <w:t xml:space="preserve"> </w:t>
      </w:r>
    </w:p>
    <w:p w:rsidR="00AB1DCB" w:rsidRDefault="00AB1DCB" w:rsidP="008D63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DCB">
        <w:rPr>
          <w:rFonts w:ascii="Arial" w:hAnsi="Arial" w:cs="Arial"/>
          <w:sz w:val="22"/>
          <w:szCs w:val="22"/>
        </w:rPr>
        <w:t>- Την υπ’ αριθμ.5751/7-4-2022 Σύμβαση κατασκευής του έργου</w:t>
      </w:r>
    </w:p>
    <w:p w:rsidR="004E627C" w:rsidRPr="004E627C" w:rsidRDefault="004E627C" w:rsidP="004E627C">
      <w:pPr>
        <w:rPr>
          <w:rFonts w:ascii="Arial" w:hAnsi="Arial" w:cs="Arial"/>
          <w:sz w:val="22"/>
          <w:szCs w:val="22"/>
        </w:rPr>
      </w:pPr>
      <w:r w:rsidRPr="004E627C">
        <w:rPr>
          <w:rFonts w:ascii="Arial" w:hAnsi="Arial" w:cs="Arial"/>
          <w:sz w:val="22"/>
          <w:szCs w:val="22"/>
        </w:rPr>
        <w:t xml:space="preserve">- Το </w:t>
      </w:r>
      <w:proofErr w:type="spellStart"/>
      <w:r w:rsidRPr="004E627C">
        <w:rPr>
          <w:rFonts w:ascii="Arial" w:hAnsi="Arial" w:cs="Arial"/>
          <w:sz w:val="22"/>
          <w:szCs w:val="22"/>
        </w:rPr>
        <w:t>υπ΄αριθμ</w:t>
      </w:r>
      <w:proofErr w:type="spellEnd"/>
      <w:r w:rsidRPr="004E627C">
        <w:rPr>
          <w:rFonts w:ascii="Arial" w:hAnsi="Arial" w:cs="Arial"/>
          <w:sz w:val="22"/>
          <w:szCs w:val="22"/>
        </w:rPr>
        <w:t>. 4</w:t>
      </w:r>
      <w:r w:rsidRPr="004E627C">
        <w:rPr>
          <w:rFonts w:ascii="Arial" w:hAnsi="Arial" w:cs="Arial"/>
          <w:sz w:val="22"/>
          <w:szCs w:val="22"/>
          <w:vertAlign w:val="superscript"/>
        </w:rPr>
        <w:t>ο</w:t>
      </w:r>
      <w:r w:rsidRPr="004E627C">
        <w:rPr>
          <w:rFonts w:ascii="Arial" w:hAnsi="Arial" w:cs="Arial"/>
          <w:sz w:val="22"/>
          <w:szCs w:val="22"/>
        </w:rPr>
        <w:t xml:space="preserve"> Πρακτικό της συνεδρίασης της 22/6/2022, θέμα 3 του Τεχνικού Συμβουλίου Δημοσίων Έργων Περιφερειακής Ενότητας Βοιωτίας.</w:t>
      </w:r>
    </w:p>
    <w:p w:rsidR="008D639D" w:rsidRPr="00004033" w:rsidRDefault="008D639D" w:rsidP="008D63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8D639D" w:rsidRDefault="008D639D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</w:t>
      </w:r>
      <w:r w:rsidR="004921A7">
        <w:rPr>
          <w:rFonts w:ascii="Arial" w:hAnsi="Arial" w:cs="Arial"/>
          <w:sz w:val="22"/>
          <w:szCs w:val="22"/>
        </w:rPr>
        <w:t>ώθηκε δια ζώσης στην συνεδρίαση</w:t>
      </w:r>
    </w:p>
    <w:p w:rsidR="004921A7" w:rsidRPr="00442156" w:rsidRDefault="004921A7" w:rsidP="004921A7">
      <w:pPr>
        <w:widowControl w:val="0"/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eastAsia="Arial"/>
          <w:sz w:val="22"/>
          <w:szCs w:val="22"/>
        </w:rPr>
        <w:t>-</w:t>
      </w:r>
      <w:r w:rsidRPr="00411130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</w:t>
      </w:r>
      <w:r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>5ΧΘ7-ΘΙΡ) σύμφωνα με την οποία :</w:t>
      </w:r>
      <w:r w:rsidRPr="00411130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“.Αν κάποιο μέλος του συμβουλίου ή της επιτροπής αρνηθεί ψήφο ή δώσει λευκή ψήφο,</w:t>
      </w:r>
      <w:r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</w:t>
      </w:r>
      <w:r w:rsidRPr="00411130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λογίζεται ως παρόν μόνο για την ύπαρξη της απαρτίας και η ψήφος του δεν υπολογίζεται στον </w:t>
      </w:r>
      <w:r w:rsidRPr="0041113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41113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41113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411130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4921A7" w:rsidRPr="00004033" w:rsidRDefault="004921A7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639D" w:rsidRPr="00004033" w:rsidRDefault="008D639D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639D" w:rsidRPr="003962B2" w:rsidRDefault="008D639D" w:rsidP="008D63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62B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</w:t>
      </w:r>
      <w:r w:rsidR="004921A7">
        <w:rPr>
          <w:rFonts w:ascii="Arial" w:hAnsi="Arial" w:cs="Arial"/>
          <w:b/>
          <w:bCs/>
          <w:sz w:val="22"/>
          <w:szCs w:val="22"/>
        </w:rPr>
        <w:t>ΟΜΟΦΩΝΑ</w:t>
      </w:r>
    </w:p>
    <w:p w:rsidR="008D639D" w:rsidRPr="003962B2" w:rsidRDefault="008D639D" w:rsidP="008D63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B1DCB" w:rsidRPr="009F4944" w:rsidRDefault="00CB5084" w:rsidP="00AB1DCB">
      <w:pPr>
        <w:rPr>
          <w:rFonts w:ascii="Arial" w:eastAsia="SimSun" w:hAnsi="Arial" w:cs="Arial"/>
          <w:b/>
          <w:sz w:val="22"/>
          <w:szCs w:val="22"/>
        </w:rPr>
      </w:pPr>
      <w:r w:rsidRPr="009F4944">
        <w:rPr>
          <w:rFonts w:ascii="Arial" w:hAnsi="Arial" w:cs="Arial"/>
          <w:sz w:val="22"/>
          <w:szCs w:val="22"/>
        </w:rPr>
        <w:t xml:space="preserve">      </w:t>
      </w:r>
      <w:r w:rsidR="00AB1DCB" w:rsidRPr="009F4944">
        <w:rPr>
          <w:rFonts w:ascii="Arial" w:hAnsi="Arial" w:cs="Arial"/>
          <w:sz w:val="22"/>
          <w:szCs w:val="22"/>
        </w:rPr>
        <w:t xml:space="preserve">Αποδέχεται την </w:t>
      </w:r>
      <w:r w:rsidR="00AB1DCB" w:rsidRPr="001A27C1">
        <w:rPr>
          <w:rFonts w:ascii="Arial" w:eastAsia="SimSun" w:hAnsi="Arial" w:cs="Arial"/>
          <w:sz w:val="22"/>
          <w:szCs w:val="22"/>
        </w:rPr>
        <w:t xml:space="preserve">τροποποίηση της </w:t>
      </w:r>
      <w:proofErr w:type="spellStart"/>
      <w:r w:rsidR="00AB1DCB" w:rsidRPr="001A27C1">
        <w:rPr>
          <w:rFonts w:ascii="Arial" w:eastAsia="SimSun" w:hAnsi="Arial" w:cs="Arial"/>
          <w:sz w:val="22"/>
          <w:szCs w:val="22"/>
        </w:rPr>
        <w:t>υπ΄αριθ</w:t>
      </w:r>
      <w:proofErr w:type="spellEnd"/>
      <w:r w:rsidR="00AB1DCB" w:rsidRPr="001A27C1">
        <w:rPr>
          <w:rFonts w:ascii="Arial" w:eastAsia="SimSun" w:hAnsi="Arial" w:cs="Arial"/>
          <w:sz w:val="22"/>
          <w:szCs w:val="22"/>
        </w:rPr>
        <w:t xml:space="preserve">. 45/2021 </w:t>
      </w:r>
      <w:r w:rsidR="004E627C" w:rsidRPr="001A27C1">
        <w:rPr>
          <w:rFonts w:ascii="Arial" w:eastAsia="SimSun" w:hAnsi="Arial" w:cs="Arial"/>
          <w:sz w:val="22"/>
          <w:szCs w:val="22"/>
        </w:rPr>
        <w:t>Τ</w:t>
      </w:r>
      <w:r w:rsidR="00AB1DCB" w:rsidRPr="001A27C1">
        <w:rPr>
          <w:rFonts w:ascii="Arial" w:eastAsia="SimSun" w:hAnsi="Arial" w:cs="Arial"/>
          <w:sz w:val="22"/>
          <w:szCs w:val="22"/>
        </w:rPr>
        <w:t>εχνικής Μελέτης: «</w:t>
      </w:r>
      <w:r w:rsidR="00AB1DCB" w:rsidRPr="001A27C1">
        <w:rPr>
          <w:rFonts w:ascii="Arial" w:eastAsia="SimSun" w:hAnsi="Arial" w:cs="Arial"/>
          <w:sz w:val="22"/>
          <w:szCs w:val="22"/>
          <w:lang w:val="en-US"/>
        </w:rPr>
        <w:t>O</w:t>
      </w:r>
      <w:r w:rsidR="00AB1DCB" w:rsidRPr="001A27C1">
        <w:rPr>
          <w:rFonts w:ascii="Arial" w:eastAsia="SimSun" w:hAnsi="Arial" w:cs="Arial"/>
          <w:sz w:val="22"/>
          <w:szCs w:val="22"/>
        </w:rPr>
        <w:t>ΛΟΚΛΗΡΩΣΗ ΟΔΟΠΟΙΪΑΣ ΚΥΡΙΑΚΙΟΥ – ΠΑΝΑΓΙΑ ΚΑΛΑΜΙΩΤΙΣΣΑ» ως προς την αλλαγή χάραξης τοπικά , σύμφωνα με το</w:t>
      </w:r>
      <w:r w:rsidR="00AB1DCB" w:rsidRPr="009F4944">
        <w:rPr>
          <w:rFonts w:ascii="Arial" w:eastAsia="SimSun" w:hAnsi="Arial" w:cs="Arial"/>
          <w:b/>
          <w:sz w:val="22"/>
          <w:szCs w:val="22"/>
        </w:rPr>
        <w:t xml:space="preserve"> </w:t>
      </w:r>
      <w:r w:rsidR="00AB1DCB" w:rsidRPr="009F4944">
        <w:rPr>
          <w:rFonts w:ascii="Arial" w:hAnsi="Arial" w:cs="Arial"/>
          <w:sz w:val="22"/>
          <w:szCs w:val="22"/>
        </w:rPr>
        <w:t xml:space="preserve"> από Ιούνιο 2022 σχέδιο τροποποίησης άδειας επέμβασης (</w:t>
      </w:r>
      <w:proofErr w:type="spellStart"/>
      <w:r w:rsidR="00AB1DCB" w:rsidRPr="009F4944">
        <w:rPr>
          <w:rFonts w:ascii="Arial" w:hAnsi="Arial" w:cs="Arial"/>
          <w:sz w:val="22"/>
          <w:szCs w:val="22"/>
        </w:rPr>
        <w:t>αριθμ</w:t>
      </w:r>
      <w:proofErr w:type="spellEnd"/>
      <w:r w:rsidR="00AB1DCB" w:rsidRPr="009F4944">
        <w:rPr>
          <w:rFonts w:ascii="Arial" w:hAnsi="Arial" w:cs="Arial"/>
          <w:sz w:val="22"/>
          <w:szCs w:val="22"/>
        </w:rPr>
        <w:t xml:space="preserve">. Πινακίδας ½) </w:t>
      </w:r>
      <w:r w:rsidR="00AB1DCB" w:rsidRPr="009F4944">
        <w:rPr>
          <w:rFonts w:ascii="Arial" w:hAnsi="Arial" w:cs="Arial"/>
          <w:sz w:val="22"/>
          <w:szCs w:val="22"/>
        </w:rPr>
        <w:lastRenderedPageBreak/>
        <w:t xml:space="preserve">στο οποίο εμφαίνεται </w:t>
      </w:r>
      <w:r w:rsidR="009F4944" w:rsidRPr="009F4944">
        <w:rPr>
          <w:rFonts w:ascii="Arial" w:hAnsi="Arial" w:cs="Arial"/>
          <w:sz w:val="22"/>
          <w:szCs w:val="22"/>
        </w:rPr>
        <w:t xml:space="preserve">στο εισηγητικό μέρος της παρούσας </w:t>
      </w:r>
      <w:r w:rsidR="00AB1DCB" w:rsidRPr="009F4944">
        <w:rPr>
          <w:rFonts w:ascii="Arial" w:hAnsi="Arial" w:cs="Arial"/>
          <w:sz w:val="22"/>
          <w:szCs w:val="22"/>
        </w:rPr>
        <w:t>η προτεινόμενη τροποποίηση χάραξης  (νέα χάραξη)</w:t>
      </w:r>
    </w:p>
    <w:p w:rsidR="00B17648" w:rsidRPr="00B3372F" w:rsidRDefault="00B17648" w:rsidP="00CB5084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</w:p>
    <w:p w:rsidR="00CB5084" w:rsidRPr="009F4944" w:rsidRDefault="00CB5084" w:rsidP="00CB5084">
      <w:pPr>
        <w:spacing w:line="276" w:lineRule="auto"/>
        <w:ind w:hanging="142"/>
        <w:rPr>
          <w:sz w:val="22"/>
          <w:szCs w:val="22"/>
        </w:rPr>
      </w:pPr>
      <w:r w:rsidRPr="009F4944">
        <w:rPr>
          <w:rFonts w:ascii="Arial" w:hAnsi="Arial" w:cs="Arial"/>
          <w:sz w:val="22"/>
          <w:szCs w:val="22"/>
        </w:rPr>
        <w:t xml:space="preserve">         </w:t>
      </w:r>
      <w:r w:rsidR="009F4944" w:rsidRPr="009F4944">
        <w:rPr>
          <w:rFonts w:ascii="Arial" w:hAnsi="Arial" w:cs="Arial"/>
          <w:sz w:val="22"/>
          <w:szCs w:val="22"/>
        </w:rPr>
        <w:t xml:space="preserve">Στην ανωτέρω απόφαση ψήφισε </w:t>
      </w:r>
      <w:r w:rsidR="004921A7">
        <w:rPr>
          <w:rFonts w:ascii="Arial" w:hAnsi="Arial" w:cs="Arial"/>
          <w:sz w:val="22"/>
          <w:szCs w:val="22"/>
        </w:rPr>
        <w:t xml:space="preserve">ΛΕΥΚΟ </w:t>
      </w:r>
      <w:r w:rsidR="009F4944" w:rsidRPr="009F4944">
        <w:rPr>
          <w:rFonts w:ascii="Arial" w:hAnsi="Arial" w:cs="Arial"/>
          <w:sz w:val="22"/>
          <w:szCs w:val="22"/>
        </w:rPr>
        <w:t xml:space="preserve"> ο κ. </w:t>
      </w:r>
      <w:proofErr w:type="spellStart"/>
      <w:r w:rsidR="009F4944" w:rsidRPr="009F4944">
        <w:rPr>
          <w:rFonts w:ascii="Arial" w:hAnsi="Arial" w:cs="Arial"/>
          <w:sz w:val="22"/>
          <w:szCs w:val="22"/>
        </w:rPr>
        <w:t>Καπλάνης</w:t>
      </w:r>
      <w:proofErr w:type="spellEnd"/>
      <w:r w:rsidR="009F4944" w:rsidRPr="009F4944">
        <w:rPr>
          <w:rFonts w:ascii="Arial" w:hAnsi="Arial" w:cs="Arial"/>
          <w:sz w:val="22"/>
          <w:szCs w:val="22"/>
        </w:rPr>
        <w:t xml:space="preserve"> Κωνσταντίνος για τους λόγους που αναφέρονται στο εισηγητικό </w:t>
      </w:r>
      <w:r w:rsidR="009F4944">
        <w:rPr>
          <w:rFonts w:ascii="Arial" w:hAnsi="Arial" w:cs="Arial"/>
          <w:sz w:val="22"/>
          <w:szCs w:val="22"/>
        </w:rPr>
        <w:t xml:space="preserve">μέρος </w:t>
      </w:r>
      <w:r w:rsidR="009F4944" w:rsidRPr="009F4944">
        <w:rPr>
          <w:rFonts w:ascii="Arial" w:hAnsi="Arial" w:cs="Arial"/>
          <w:sz w:val="22"/>
          <w:szCs w:val="22"/>
        </w:rPr>
        <w:t>της παρούσας.</w:t>
      </w:r>
      <w:r w:rsidRPr="009F4944">
        <w:rPr>
          <w:rFonts w:ascii="Arial" w:hAnsi="Arial" w:cs="Arial"/>
          <w:sz w:val="22"/>
          <w:szCs w:val="22"/>
        </w:rPr>
        <w:t xml:space="preserve">                  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>
        <w:rPr>
          <w:rFonts w:ascii="Arial" w:hAnsi="Arial" w:cs="Arial"/>
          <w:b/>
          <w:sz w:val="22"/>
          <w:szCs w:val="22"/>
        </w:rPr>
        <w:t>2</w:t>
      </w:r>
      <w:r w:rsidR="00D03358">
        <w:rPr>
          <w:rFonts w:ascii="Arial" w:hAnsi="Arial" w:cs="Arial"/>
          <w:b/>
          <w:sz w:val="22"/>
          <w:szCs w:val="22"/>
        </w:rPr>
        <w:t>21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 xml:space="preserve">   </w:t>
      </w:r>
      <w:r w:rsidRPr="00F01A7B">
        <w:rPr>
          <w:rFonts w:ascii="Arial" w:hAnsi="Arial" w:cs="Arial"/>
          <w:sz w:val="22"/>
          <w:szCs w:val="22"/>
        </w:rPr>
        <w:t>ΠΙΣΤΟ ΑΠΟΣΠΑΣΜΑ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</w:t>
      </w:r>
      <w:r w:rsidR="00E32C91">
        <w:rPr>
          <w:rFonts w:ascii="Arial" w:hAnsi="Arial" w:cs="Arial"/>
          <w:sz w:val="22"/>
          <w:szCs w:val="22"/>
        </w:rPr>
        <w:t xml:space="preserve">  </w:t>
      </w: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Λιβαδειά      2</w:t>
      </w:r>
      <w:r w:rsidR="008E61B3">
        <w:rPr>
          <w:rFonts w:ascii="Arial" w:hAnsi="Arial" w:cs="Arial"/>
          <w:sz w:val="22"/>
          <w:szCs w:val="22"/>
        </w:rPr>
        <w:t>5</w:t>
      </w:r>
      <w:r w:rsidRPr="00F01A7B">
        <w:rPr>
          <w:rFonts w:ascii="Arial" w:hAnsi="Arial" w:cs="Arial"/>
          <w:sz w:val="22"/>
          <w:szCs w:val="22"/>
        </w:rPr>
        <w:t xml:space="preserve"> -07-2022</w:t>
      </w: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F01A7B">
        <w:rPr>
          <w:rFonts w:ascii="Arial" w:hAnsi="Arial" w:cs="Arial"/>
          <w:sz w:val="22"/>
          <w:szCs w:val="22"/>
        </w:rPr>
        <w:t xml:space="preserve">    </w:t>
      </w:r>
    </w:p>
    <w:p w:rsidR="00F01A7B" w:rsidRPr="00F01A7B" w:rsidRDefault="00F01A7B" w:rsidP="00F01A7B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ab/>
      </w:r>
    </w:p>
    <w:p w:rsidR="00F01A7B" w:rsidRPr="00F01A7B" w:rsidRDefault="00F01A7B" w:rsidP="00F01A7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</w:t>
      </w:r>
      <w:r w:rsidRPr="00F01A7B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01A7B">
        <w:rPr>
          <w:rFonts w:ascii="Arial" w:hAnsi="Arial" w:cs="Arial"/>
          <w:sz w:val="22"/>
          <w:szCs w:val="22"/>
        </w:rPr>
        <w:t>Μητάς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Αλέξανδρος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01A7B">
        <w:rPr>
          <w:rFonts w:ascii="Arial" w:hAnsi="Arial" w:cs="Arial"/>
          <w:sz w:val="22"/>
          <w:szCs w:val="22"/>
        </w:rPr>
        <w:t>Νταντούμη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Ιωάννα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01A7B">
        <w:rPr>
          <w:rFonts w:ascii="Arial" w:hAnsi="Arial" w:cs="Arial"/>
          <w:sz w:val="22"/>
          <w:szCs w:val="22"/>
        </w:rPr>
        <w:t>Σαγιάννης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Μιχαήλ                                                        ΙΩΑΝΝΗΣ Δ. ΤΑΓΚΑΛΕΓΚΑΣ 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>4 .</w:t>
      </w:r>
      <w:proofErr w:type="spellStart"/>
      <w:r w:rsidRPr="00F01A7B">
        <w:rPr>
          <w:rFonts w:ascii="Arial" w:hAnsi="Arial" w:cs="Arial"/>
          <w:sz w:val="22"/>
          <w:szCs w:val="22"/>
        </w:rPr>
        <w:t>Μερτζάνης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 Κωνσταντίνος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F01A7B">
        <w:rPr>
          <w:rFonts w:ascii="Arial" w:hAnsi="Arial" w:cs="Arial"/>
          <w:sz w:val="22"/>
          <w:szCs w:val="22"/>
        </w:rPr>
        <w:t>Καπλάνης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Κωνσταντίνος</w:t>
      </w:r>
    </w:p>
    <w:p w:rsidR="00B83547" w:rsidRPr="00F01A7B" w:rsidRDefault="00B83547" w:rsidP="00F01A7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83547" w:rsidRPr="00F01A7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D6" w:rsidRDefault="007B4FD6">
      <w:r>
        <w:separator/>
      </w:r>
    </w:p>
  </w:endnote>
  <w:endnote w:type="continuationSeparator" w:id="0">
    <w:p w:rsidR="007B4FD6" w:rsidRDefault="007B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D6" w:rsidRDefault="007B4FD6">
      <w:r>
        <w:separator/>
      </w:r>
    </w:p>
  </w:footnote>
  <w:footnote w:type="continuationSeparator" w:id="0">
    <w:p w:rsidR="007B4FD6" w:rsidRDefault="007B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6B2B6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6B2B6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27C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05C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591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346E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C334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E297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C813D6F"/>
    <w:multiLevelType w:val="hybridMultilevel"/>
    <w:tmpl w:val="0CA42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71A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3DB3F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A390D3F"/>
    <w:multiLevelType w:val="hybridMultilevel"/>
    <w:tmpl w:val="D280F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A27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F4471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7A3CD2"/>
    <w:multiLevelType w:val="hybridMultilevel"/>
    <w:tmpl w:val="0FF44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92F569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C896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C8C4BA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43"/>
  </w:num>
  <w:num w:numId="17">
    <w:abstractNumId w:val="41"/>
  </w:num>
  <w:num w:numId="18">
    <w:abstractNumId w:val="2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"/>
  </w:num>
  <w:num w:numId="22">
    <w:abstractNumId w:val="28"/>
  </w:num>
  <w:num w:numId="23">
    <w:abstractNumId w:val="7"/>
  </w:num>
  <w:num w:numId="24">
    <w:abstractNumId w:val="3"/>
  </w:num>
  <w:num w:numId="25">
    <w:abstractNumId w:val="34"/>
  </w:num>
  <w:num w:numId="26">
    <w:abstractNumId w:val="36"/>
  </w:num>
  <w:num w:numId="27">
    <w:abstractNumId w:val="11"/>
  </w:num>
  <w:num w:numId="28">
    <w:abstractNumId w:val="35"/>
  </w:num>
  <w:num w:numId="29">
    <w:abstractNumId w:val="29"/>
  </w:num>
  <w:num w:numId="30">
    <w:abstractNumId w:val="40"/>
  </w:num>
  <w:num w:numId="31">
    <w:abstractNumId w:val="39"/>
  </w:num>
  <w:num w:numId="32">
    <w:abstractNumId w:val="21"/>
  </w:num>
  <w:num w:numId="33">
    <w:abstractNumId w:val="46"/>
  </w:num>
  <w:num w:numId="34">
    <w:abstractNumId w:val="14"/>
  </w:num>
  <w:num w:numId="35">
    <w:abstractNumId w:val="26"/>
  </w:num>
  <w:num w:numId="36">
    <w:abstractNumId w:val="31"/>
  </w:num>
  <w:num w:numId="37">
    <w:abstractNumId w:val="19"/>
  </w:num>
  <w:num w:numId="38">
    <w:abstractNumId w:val="44"/>
  </w:num>
  <w:num w:numId="39">
    <w:abstractNumId w:val="18"/>
  </w:num>
  <w:num w:numId="40">
    <w:abstractNumId w:val="45"/>
  </w:num>
  <w:num w:numId="41">
    <w:abstractNumId w:val="23"/>
  </w:num>
  <w:num w:numId="42">
    <w:abstractNumId w:val="27"/>
  </w:num>
  <w:num w:numId="43">
    <w:abstractNumId w:val="32"/>
  </w:num>
  <w:num w:numId="44">
    <w:abstractNumId w:val="6"/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0C4"/>
    <w:rsid w:val="000036AE"/>
    <w:rsid w:val="00004033"/>
    <w:rsid w:val="00005992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5A20"/>
    <w:rsid w:val="00106413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1C85"/>
    <w:rsid w:val="001A27C1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1F0DA2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37D6A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15F0"/>
    <w:rsid w:val="003818B2"/>
    <w:rsid w:val="003831A1"/>
    <w:rsid w:val="00384268"/>
    <w:rsid w:val="00390DFA"/>
    <w:rsid w:val="003950A3"/>
    <w:rsid w:val="003962B2"/>
    <w:rsid w:val="003A1D0E"/>
    <w:rsid w:val="003A243B"/>
    <w:rsid w:val="003A35F7"/>
    <w:rsid w:val="003A4C37"/>
    <w:rsid w:val="003A6B6D"/>
    <w:rsid w:val="003A7EAF"/>
    <w:rsid w:val="003B3429"/>
    <w:rsid w:val="003B5930"/>
    <w:rsid w:val="003C235F"/>
    <w:rsid w:val="003C2DCE"/>
    <w:rsid w:val="003C38EA"/>
    <w:rsid w:val="003C61AA"/>
    <w:rsid w:val="003C79BD"/>
    <w:rsid w:val="003D3232"/>
    <w:rsid w:val="003D36C5"/>
    <w:rsid w:val="003D385C"/>
    <w:rsid w:val="003D4108"/>
    <w:rsid w:val="003D4F40"/>
    <w:rsid w:val="003D7E15"/>
    <w:rsid w:val="003E3562"/>
    <w:rsid w:val="003E6936"/>
    <w:rsid w:val="003F36E8"/>
    <w:rsid w:val="003F69CB"/>
    <w:rsid w:val="003F7F3D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195"/>
    <w:rsid w:val="0044156F"/>
    <w:rsid w:val="00442D75"/>
    <w:rsid w:val="0044667E"/>
    <w:rsid w:val="00446B60"/>
    <w:rsid w:val="004600E1"/>
    <w:rsid w:val="00464EAA"/>
    <w:rsid w:val="004650CA"/>
    <w:rsid w:val="0046534D"/>
    <w:rsid w:val="004762A5"/>
    <w:rsid w:val="00476DAD"/>
    <w:rsid w:val="00477A14"/>
    <w:rsid w:val="00481423"/>
    <w:rsid w:val="00481982"/>
    <w:rsid w:val="00482DC2"/>
    <w:rsid w:val="0048586E"/>
    <w:rsid w:val="004879A6"/>
    <w:rsid w:val="004901FD"/>
    <w:rsid w:val="004921A7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27C"/>
    <w:rsid w:val="004E6F72"/>
    <w:rsid w:val="004E727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4173F"/>
    <w:rsid w:val="00541AD6"/>
    <w:rsid w:val="00547183"/>
    <w:rsid w:val="00547736"/>
    <w:rsid w:val="00553F7E"/>
    <w:rsid w:val="0055426E"/>
    <w:rsid w:val="00554F44"/>
    <w:rsid w:val="00557D7F"/>
    <w:rsid w:val="0056052F"/>
    <w:rsid w:val="00561038"/>
    <w:rsid w:val="005643B0"/>
    <w:rsid w:val="00564CB7"/>
    <w:rsid w:val="00570C36"/>
    <w:rsid w:val="00575879"/>
    <w:rsid w:val="00576874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D55B8"/>
    <w:rsid w:val="005E0954"/>
    <w:rsid w:val="005E39F4"/>
    <w:rsid w:val="005E5FAC"/>
    <w:rsid w:val="005E6657"/>
    <w:rsid w:val="005E6AD5"/>
    <w:rsid w:val="005E7301"/>
    <w:rsid w:val="005F082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7677F"/>
    <w:rsid w:val="006808D2"/>
    <w:rsid w:val="00681BEC"/>
    <w:rsid w:val="006908AC"/>
    <w:rsid w:val="00691A15"/>
    <w:rsid w:val="006A2C3D"/>
    <w:rsid w:val="006A654E"/>
    <w:rsid w:val="006B1AF9"/>
    <w:rsid w:val="006B2B69"/>
    <w:rsid w:val="006B47C3"/>
    <w:rsid w:val="006C10D0"/>
    <w:rsid w:val="006C12E9"/>
    <w:rsid w:val="006C1CE4"/>
    <w:rsid w:val="006C20D0"/>
    <w:rsid w:val="006C44CC"/>
    <w:rsid w:val="006D1CF9"/>
    <w:rsid w:val="006D2323"/>
    <w:rsid w:val="006D4474"/>
    <w:rsid w:val="006E176C"/>
    <w:rsid w:val="006E352C"/>
    <w:rsid w:val="006E5B34"/>
    <w:rsid w:val="006F31D8"/>
    <w:rsid w:val="006F53B6"/>
    <w:rsid w:val="006F6673"/>
    <w:rsid w:val="006F6CC0"/>
    <w:rsid w:val="00700DEE"/>
    <w:rsid w:val="00703693"/>
    <w:rsid w:val="0070421F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4FD6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5B50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D4117"/>
    <w:rsid w:val="008D639D"/>
    <w:rsid w:val="008E0542"/>
    <w:rsid w:val="008E4426"/>
    <w:rsid w:val="008E61B3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92519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D0C12"/>
    <w:rsid w:val="009D4B51"/>
    <w:rsid w:val="009E15C3"/>
    <w:rsid w:val="009E48F4"/>
    <w:rsid w:val="009F4944"/>
    <w:rsid w:val="009F4B5B"/>
    <w:rsid w:val="00A00A9E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0423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DAA"/>
    <w:rsid w:val="00A859D3"/>
    <w:rsid w:val="00A86B9D"/>
    <w:rsid w:val="00A911B6"/>
    <w:rsid w:val="00AA21A4"/>
    <w:rsid w:val="00AA40CD"/>
    <w:rsid w:val="00AA6E43"/>
    <w:rsid w:val="00AB1DCB"/>
    <w:rsid w:val="00AB58C9"/>
    <w:rsid w:val="00AB6077"/>
    <w:rsid w:val="00AC24B1"/>
    <w:rsid w:val="00AC70D6"/>
    <w:rsid w:val="00AD0CDD"/>
    <w:rsid w:val="00AD6747"/>
    <w:rsid w:val="00AE14E6"/>
    <w:rsid w:val="00AF3850"/>
    <w:rsid w:val="00B0158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36CD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2164"/>
    <w:rsid w:val="00D03288"/>
    <w:rsid w:val="00D03358"/>
    <w:rsid w:val="00D0386B"/>
    <w:rsid w:val="00D04FAC"/>
    <w:rsid w:val="00D06531"/>
    <w:rsid w:val="00D074CE"/>
    <w:rsid w:val="00D1254C"/>
    <w:rsid w:val="00D13A1C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A74D7"/>
    <w:rsid w:val="00DB049B"/>
    <w:rsid w:val="00DB60C7"/>
    <w:rsid w:val="00DD0156"/>
    <w:rsid w:val="00DD03B9"/>
    <w:rsid w:val="00DD0523"/>
    <w:rsid w:val="00DD0E01"/>
    <w:rsid w:val="00DD6684"/>
    <w:rsid w:val="00DD75B3"/>
    <w:rsid w:val="00DE377B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2C91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D03358"/>
    <w:pPr>
      <w:widowControl w:val="0"/>
      <w:suppressAutoHyphens w:val="0"/>
      <w:autoSpaceDE w:val="0"/>
      <w:autoSpaceDN w:val="0"/>
      <w:spacing w:before="17"/>
      <w:ind w:right="23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033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B0F3-B532-431A-BAE2-4886F221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1430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9140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2022-06-08T06:19:00Z</cp:lastPrinted>
  <dcterms:created xsi:type="dcterms:W3CDTF">2022-07-22T07:09:00Z</dcterms:created>
  <dcterms:modified xsi:type="dcterms:W3CDTF">2022-07-25T07:02:00Z</dcterms:modified>
</cp:coreProperties>
</file>