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E1332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E13321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E1332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E02FF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FD424F">
        <w:rPr>
          <w:rFonts w:ascii="Arial" w:eastAsia="Arial" w:hAnsi="Arial" w:cs="Arial"/>
          <w:b/>
          <w:bCs/>
          <w:sz w:val="22"/>
          <w:szCs w:val="22"/>
        </w:rPr>
        <w:t xml:space="preserve">  23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/</w:t>
      </w:r>
      <w:r w:rsidR="00C31795">
        <w:rPr>
          <w:rFonts w:ascii="Arial" w:eastAsia="Arial" w:hAnsi="Arial" w:cs="Arial"/>
          <w:b/>
          <w:bCs/>
          <w:sz w:val="22"/>
          <w:szCs w:val="22"/>
        </w:rPr>
        <w:t>03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/202</w:t>
      </w:r>
      <w:r w:rsidR="00A53AFE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E1332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E13321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F454B">
        <w:rPr>
          <w:rFonts w:ascii="Arial" w:eastAsia="Arial" w:hAnsi="Arial" w:cs="Arial"/>
          <w:b/>
          <w:bCs/>
          <w:sz w:val="22"/>
          <w:szCs w:val="22"/>
        </w:rPr>
        <w:t>4740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</w:p>
    <w:p w:rsidR="003C235F" w:rsidRPr="00E1332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FD424F">
        <w:rPr>
          <w:rFonts w:ascii="Arial" w:hAnsi="Arial" w:cs="Arial"/>
          <w:b/>
          <w:sz w:val="22"/>
          <w:szCs w:val="22"/>
        </w:rPr>
        <w:t>8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C31795">
        <w:rPr>
          <w:rFonts w:ascii="Arial" w:hAnsi="Arial" w:cs="Arial"/>
          <w:b/>
          <w:sz w:val="22"/>
          <w:szCs w:val="22"/>
        </w:rPr>
        <w:t>2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FD424F" w:rsidRDefault="003C235F" w:rsidP="00FD424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D424F">
        <w:rPr>
          <w:rFonts w:ascii="Arial" w:hAnsi="Arial" w:cs="Arial"/>
          <w:b/>
          <w:sz w:val="22"/>
          <w:szCs w:val="22"/>
        </w:rPr>
        <w:t>6</w:t>
      </w:r>
      <w:r w:rsidR="006E46DF">
        <w:rPr>
          <w:rFonts w:ascii="Arial" w:hAnsi="Arial" w:cs="Arial"/>
          <w:b/>
          <w:sz w:val="22"/>
          <w:szCs w:val="22"/>
        </w:rPr>
        <w:t>4</w:t>
      </w:r>
    </w:p>
    <w:p w:rsidR="008E444E" w:rsidRPr="008E444E" w:rsidRDefault="008E444E" w:rsidP="008E444E">
      <w:pPr>
        <w:jc w:val="both"/>
        <w:rPr>
          <w:rFonts w:ascii="Arial" w:hAnsi="Arial" w:cs="Arial"/>
          <w:sz w:val="22"/>
          <w:szCs w:val="22"/>
        </w:rPr>
      </w:pPr>
      <w:r w:rsidRPr="00B027AA">
        <w:rPr>
          <w:rFonts w:cs="Liberation Serif"/>
          <w:b/>
          <w:bCs/>
          <w:sz w:val="22"/>
          <w:szCs w:val="22"/>
        </w:rPr>
        <w:t xml:space="preserve"> </w:t>
      </w:r>
      <w:r w:rsidRPr="008E444E">
        <w:rPr>
          <w:rFonts w:ascii="Arial" w:hAnsi="Arial" w:cs="Arial"/>
          <w:b/>
          <w:bCs/>
          <w:sz w:val="22"/>
          <w:szCs w:val="22"/>
        </w:rPr>
        <w:t xml:space="preserve">Έγκριση πρόσληψης προσωπικού  δέκα  (10) ατόμων, με σύμβαση ορισμένου χρόνου,  ειδικότητας ΥΕ Εργατών Γενικών Καθηκόντων , δίμηνης διάρκειας,  για  την αντιμετώπιση  των κατεπειγουσών εποχιακών και πρόσκαιρων αναγκών πυροπροστασίας  του Δήμου </w:t>
      </w:r>
      <w:proofErr w:type="spellStart"/>
      <w:r w:rsidRPr="008E444E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C31795" w:rsidRPr="00C31795" w:rsidRDefault="00C31795">
      <w:pPr>
        <w:jc w:val="center"/>
        <w:rPr>
          <w:rFonts w:ascii="Arial" w:hAnsi="Arial" w:cs="Arial"/>
          <w:b/>
          <w:sz w:val="22"/>
          <w:szCs w:val="22"/>
        </w:rPr>
      </w:pP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C31795">
        <w:rPr>
          <w:rFonts w:ascii="Arial" w:eastAsia="Arial" w:hAnsi="Arial" w:cs="Arial"/>
          <w:sz w:val="22"/>
          <w:szCs w:val="22"/>
        </w:rPr>
        <w:t xml:space="preserve">            </w:t>
      </w:r>
      <w:r w:rsidRPr="00C31795">
        <w:rPr>
          <w:rFonts w:ascii="Arial" w:hAnsi="Arial" w:cs="Arial"/>
          <w:sz w:val="22"/>
          <w:szCs w:val="22"/>
        </w:rPr>
        <w:t xml:space="preserve">Στη Λιβαδειά σήμερα  </w:t>
      </w:r>
      <w:r w:rsidR="00FD424F">
        <w:rPr>
          <w:rFonts w:ascii="Arial" w:hAnsi="Arial" w:cs="Arial"/>
          <w:sz w:val="22"/>
          <w:szCs w:val="22"/>
        </w:rPr>
        <w:t>22</w:t>
      </w:r>
      <w:r w:rsidRPr="00C31795">
        <w:rPr>
          <w:rFonts w:ascii="Arial" w:hAnsi="Arial" w:cs="Arial"/>
          <w:sz w:val="22"/>
          <w:szCs w:val="22"/>
        </w:rPr>
        <w:t xml:space="preserve">   Μαρτίου  2022  ημέρα Τ</w:t>
      </w:r>
      <w:r w:rsidR="00FD424F">
        <w:rPr>
          <w:rFonts w:ascii="Arial" w:hAnsi="Arial" w:cs="Arial"/>
          <w:sz w:val="22"/>
          <w:szCs w:val="22"/>
        </w:rPr>
        <w:t>ρίτη</w:t>
      </w:r>
      <w:r w:rsidRPr="00C31795">
        <w:rPr>
          <w:rFonts w:ascii="Arial" w:hAnsi="Arial" w:cs="Arial"/>
          <w:sz w:val="22"/>
          <w:szCs w:val="22"/>
        </w:rPr>
        <w:t xml:space="preserve">  &amp;  ώρα 14.00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C31795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C31795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, </w:t>
      </w:r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C3179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  <w:highlight w:val="white"/>
        </w:rPr>
        <w:t>με  τηλεδιάσκεψη</w:t>
      </w:r>
      <w:r w:rsidRPr="00C31795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C31795">
        <w:rPr>
          <w:rFonts w:ascii="Arial" w:hAnsi="Arial" w:cs="Arial"/>
          <w:sz w:val="22"/>
          <w:szCs w:val="22"/>
        </w:rPr>
        <w:t>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C31795">
        <w:rPr>
          <w:rFonts w:ascii="Arial" w:hAnsi="Arial" w:cs="Arial"/>
          <w:sz w:val="22"/>
          <w:szCs w:val="22"/>
        </w:rPr>
        <w:t>ιιι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C31795">
        <w:rPr>
          <w:rFonts w:ascii="Arial" w:hAnsi="Arial" w:cs="Arial"/>
          <w:sz w:val="22"/>
          <w:szCs w:val="22"/>
        </w:rPr>
        <w:t>αριθμ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31795">
        <w:rPr>
          <w:rFonts w:ascii="Arial" w:hAnsi="Arial" w:cs="Arial"/>
          <w:sz w:val="22"/>
          <w:szCs w:val="22"/>
        </w:rPr>
        <w:t>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  <w:r w:rsidRPr="00C31795">
        <w:rPr>
          <w:rFonts w:ascii="Arial" w:eastAsia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C31795">
        <w:rPr>
          <w:rFonts w:ascii="Arial" w:hAnsi="Arial" w:cs="Arial"/>
          <w:sz w:val="22"/>
          <w:szCs w:val="22"/>
        </w:rPr>
        <w:t>αρ.πρωτ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</w:t>
      </w:r>
      <w:r w:rsidR="00FD424F">
        <w:rPr>
          <w:rFonts w:ascii="Arial" w:hAnsi="Arial" w:cs="Arial"/>
          <w:sz w:val="22"/>
          <w:szCs w:val="22"/>
        </w:rPr>
        <w:t>4452/18</w:t>
      </w:r>
      <w:r w:rsidRPr="00C31795">
        <w:rPr>
          <w:rFonts w:ascii="Arial" w:hAnsi="Arial" w:cs="Arial"/>
          <w:sz w:val="22"/>
          <w:szCs w:val="22"/>
        </w:rPr>
        <w:t xml:space="preserve">-03-2022  έγγραφη πρόσκληση του  Προέδρου της (Δημάρχου </w:t>
      </w:r>
      <w:proofErr w:type="spellStart"/>
      <w:r w:rsidRPr="00C31795">
        <w:rPr>
          <w:rFonts w:ascii="Arial" w:hAnsi="Arial" w:cs="Arial"/>
          <w:sz w:val="22"/>
          <w:szCs w:val="22"/>
        </w:rPr>
        <w:t>Λεβαδέων</w:t>
      </w:r>
      <w:proofErr w:type="spellEnd"/>
      <w:r w:rsidRPr="00C31795">
        <w:rPr>
          <w:rFonts w:ascii="Arial" w:hAnsi="Arial" w:cs="Arial"/>
          <w:sz w:val="22"/>
          <w:szCs w:val="22"/>
        </w:rPr>
        <w:t>).</w:t>
      </w:r>
      <w:r w:rsidRPr="00C31795">
        <w:rPr>
          <w:rFonts w:ascii="Arial" w:eastAsia="Arial" w:hAnsi="Arial" w:cs="Arial"/>
          <w:sz w:val="22"/>
          <w:szCs w:val="22"/>
        </w:rPr>
        <w:t xml:space="preserve">    </w:t>
      </w:r>
    </w:p>
    <w:p w:rsidR="00C31795" w:rsidRPr="00C31795" w:rsidRDefault="00C31795" w:rsidP="00C31795">
      <w:pPr>
        <w:jc w:val="both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 ε</w:t>
      </w:r>
      <w:r w:rsidR="00FD424F">
        <w:rPr>
          <w:rFonts w:ascii="Arial" w:hAnsi="Arial" w:cs="Arial"/>
          <w:sz w:val="22"/>
          <w:szCs w:val="22"/>
        </w:rPr>
        <w:t>πτά</w:t>
      </w:r>
      <w:r w:rsidRPr="00C31795">
        <w:rPr>
          <w:rFonts w:ascii="Arial" w:hAnsi="Arial" w:cs="Arial"/>
          <w:sz w:val="22"/>
          <w:szCs w:val="22"/>
        </w:rPr>
        <w:t xml:space="preserve"> (</w:t>
      </w:r>
      <w:r w:rsidR="00FD424F">
        <w:rPr>
          <w:rFonts w:ascii="Arial" w:hAnsi="Arial" w:cs="Arial"/>
          <w:sz w:val="22"/>
          <w:szCs w:val="22"/>
        </w:rPr>
        <w:t>7</w:t>
      </w:r>
      <w:r w:rsidRPr="00C31795">
        <w:rPr>
          <w:rFonts w:ascii="Arial" w:hAnsi="Arial" w:cs="Arial"/>
          <w:sz w:val="22"/>
          <w:szCs w:val="22"/>
        </w:rPr>
        <w:t>)   εκ των οποίων και ένα αναπληρωματικό   μέλος , ήτοι:</w:t>
      </w: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</w:t>
      </w:r>
      <w:r w:rsidRPr="00C31795">
        <w:rPr>
          <w:rFonts w:ascii="Arial" w:hAnsi="Arial" w:cs="Arial"/>
          <w:b/>
          <w:sz w:val="22"/>
          <w:szCs w:val="22"/>
        </w:rPr>
        <w:t xml:space="preserve">         </w:t>
      </w:r>
    </w:p>
    <w:p w:rsidR="00C31795" w:rsidRPr="00C31795" w:rsidRDefault="00C31795" w:rsidP="00C31795">
      <w:pPr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</w:t>
      </w:r>
      <w:r w:rsidR="00FD424F">
        <w:rPr>
          <w:rFonts w:ascii="Arial" w:hAnsi="Arial" w:cs="Arial"/>
          <w:b/>
          <w:sz w:val="22"/>
          <w:szCs w:val="22"/>
        </w:rPr>
        <w:t xml:space="preserve">                    </w:t>
      </w:r>
      <w:r w:rsidRPr="00C31795">
        <w:rPr>
          <w:rFonts w:ascii="Arial" w:hAnsi="Arial" w:cs="Arial"/>
          <w:b/>
          <w:sz w:val="22"/>
          <w:szCs w:val="22"/>
        </w:rPr>
        <w:t>ΑΠΟΝΤΕΣ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color w:val="000000"/>
          <w:sz w:val="22"/>
          <w:szCs w:val="22"/>
        </w:rPr>
        <w:t>1</w:t>
      </w:r>
      <w:r w:rsidRPr="00C31795">
        <w:rPr>
          <w:rFonts w:ascii="Arial" w:hAnsi="Arial" w:cs="Arial"/>
          <w:sz w:val="22"/>
          <w:szCs w:val="22"/>
        </w:rPr>
        <w:t xml:space="preserve">.Ταγκαλέγκας Ιωάννης-Πρόεδρος </w:t>
      </w:r>
      <w:r w:rsidR="00FD424F">
        <w:rPr>
          <w:rFonts w:ascii="Arial" w:hAnsi="Arial" w:cs="Arial"/>
          <w:sz w:val="22"/>
          <w:szCs w:val="22"/>
        </w:rPr>
        <w:t>(προσήλθε στο 4</w:t>
      </w:r>
      <w:r w:rsidR="00FD424F" w:rsidRPr="00FD424F">
        <w:rPr>
          <w:rFonts w:ascii="Arial" w:hAnsi="Arial" w:cs="Arial"/>
          <w:sz w:val="22"/>
          <w:szCs w:val="22"/>
          <w:vertAlign w:val="superscript"/>
        </w:rPr>
        <w:t>ο</w:t>
      </w:r>
      <w:r w:rsidR="00FD424F">
        <w:rPr>
          <w:rFonts w:ascii="Arial" w:hAnsi="Arial" w:cs="Arial"/>
          <w:sz w:val="22"/>
          <w:szCs w:val="22"/>
        </w:rPr>
        <w:t xml:space="preserve"> Θ.Η.Δ)       1</w:t>
      </w:r>
      <w:r w:rsidRPr="00C31795">
        <w:rPr>
          <w:rFonts w:ascii="Arial" w:hAnsi="Arial" w:cs="Arial"/>
          <w:sz w:val="22"/>
          <w:szCs w:val="22"/>
        </w:rPr>
        <w:t>.</w:t>
      </w:r>
      <w:r w:rsidR="00FD424F">
        <w:rPr>
          <w:rFonts w:ascii="Arial" w:hAnsi="Arial" w:cs="Arial"/>
          <w:sz w:val="22"/>
          <w:szCs w:val="22"/>
        </w:rPr>
        <w:t>Καραμάνης Δημήτριος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31795">
        <w:rPr>
          <w:rFonts w:ascii="Arial" w:hAnsi="Arial" w:cs="Arial"/>
          <w:sz w:val="22"/>
          <w:szCs w:val="22"/>
        </w:rPr>
        <w:t>Μητάς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Αλέξανδρος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31795">
        <w:rPr>
          <w:rFonts w:ascii="Arial" w:hAnsi="Arial" w:cs="Arial"/>
          <w:sz w:val="22"/>
          <w:szCs w:val="22"/>
        </w:rPr>
        <w:t>Καλογρηάς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FD424F">
        <w:rPr>
          <w:rFonts w:ascii="Arial" w:hAnsi="Arial" w:cs="Arial"/>
          <w:sz w:val="22"/>
          <w:szCs w:val="22"/>
        </w:rPr>
        <w:t xml:space="preserve">΄               </w:t>
      </w:r>
      <w:r w:rsidRPr="00C31795">
        <w:rPr>
          <w:rFonts w:ascii="Arial" w:hAnsi="Arial" w:cs="Arial"/>
          <w:sz w:val="22"/>
          <w:szCs w:val="22"/>
        </w:rPr>
        <w:t xml:space="preserve"> </w:t>
      </w:r>
      <w:r w:rsidR="00FD424F">
        <w:rPr>
          <w:rFonts w:ascii="Arial" w:hAnsi="Arial" w:cs="Arial"/>
          <w:sz w:val="22"/>
          <w:szCs w:val="22"/>
        </w:rPr>
        <w:t xml:space="preserve">       </w:t>
      </w:r>
      <w:r w:rsidRPr="00C31795">
        <w:rPr>
          <w:rFonts w:ascii="Arial" w:hAnsi="Arial" w:cs="Arial"/>
          <w:sz w:val="22"/>
          <w:szCs w:val="22"/>
        </w:rPr>
        <w:t xml:space="preserve">(Αν και είχε νόμιμα προσκληθεί)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31795">
        <w:rPr>
          <w:rFonts w:ascii="Arial" w:hAnsi="Arial" w:cs="Arial"/>
          <w:sz w:val="22"/>
          <w:szCs w:val="22"/>
        </w:rPr>
        <w:t>Σαγιάννης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C31795">
        <w:rPr>
          <w:rFonts w:ascii="Arial" w:hAnsi="Arial" w:cs="Arial"/>
          <w:sz w:val="22"/>
          <w:szCs w:val="22"/>
        </w:rPr>
        <w:t>Μερτζάνης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 Κωνσταντίνος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6.Καπλάνης Κωνσταντίνος  </w:t>
      </w:r>
      <w:r w:rsidR="000E47EE">
        <w:rPr>
          <w:rFonts w:ascii="Arial" w:hAnsi="Arial" w:cs="Arial"/>
          <w:sz w:val="22"/>
          <w:szCs w:val="22"/>
        </w:rPr>
        <w:t>-Αντιπρόεδρος</w:t>
      </w:r>
      <w:r w:rsidRPr="00C31795">
        <w:rPr>
          <w:rFonts w:ascii="Arial" w:hAnsi="Arial" w:cs="Arial"/>
          <w:sz w:val="22"/>
          <w:szCs w:val="22"/>
        </w:rPr>
        <w:t xml:space="preserve">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7.</w:t>
      </w:r>
      <w:r w:rsidR="00FD424F" w:rsidRPr="00FD4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24F" w:rsidRPr="00C31795">
        <w:rPr>
          <w:rFonts w:ascii="Arial" w:hAnsi="Arial" w:cs="Arial"/>
          <w:sz w:val="22"/>
          <w:szCs w:val="22"/>
        </w:rPr>
        <w:t>Πούλος</w:t>
      </w:r>
      <w:proofErr w:type="spellEnd"/>
      <w:r w:rsidR="00FD424F" w:rsidRPr="00C31795">
        <w:rPr>
          <w:rFonts w:ascii="Arial" w:hAnsi="Arial" w:cs="Arial"/>
          <w:sz w:val="22"/>
          <w:szCs w:val="22"/>
        </w:rPr>
        <w:t xml:space="preserve"> Ευάγγελος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8.Μπράλιος  Νικόλαος</w:t>
      </w:r>
      <w:r w:rsidR="000E47EE">
        <w:rPr>
          <w:rFonts w:ascii="Arial" w:hAnsi="Arial" w:cs="Arial"/>
          <w:sz w:val="22"/>
          <w:szCs w:val="22"/>
        </w:rPr>
        <w:t>(απών στα 1</w:t>
      </w:r>
      <w:r w:rsidR="000E47EE" w:rsidRPr="000E47EE">
        <w:rPr>
          <w:rFonts w:ascii="Arial" w:hAnsi="Arial" w:cs="Arial"/>
          <w:sz w:val="22"/>
          <w:szCs w:val="22"/>
          <w:vertAlign w:val="superscript"/>
        </w:rPr>
        <w:t>ο</w:t>
      </w:r>
      <w:r w:rsidR="000E47EE">
        <w:rPr>
          <w:rFonts w:ascii="Arial" w:hAnsi="Arial" w:cs="Arial"/>
          <w:sz w:val="22"/>
          <w:szCs w:val="22"/>
        </w:rPr>
        <w:t xml:space="preserve"> ,13</w:t>
      </w:r>
      <w:r w:rsidR="000E47EE" w:rsidRPr="000E47EE">
        <w:rPr>
          <w:rFonts w:ascii="Arial" w:hAnsi="Arial" w:cs="Arial"/>
          <w:sz w:val="22"/>
          <w:szCs w:val="22"/>
          <w:vertAlign w:val="superscript"/>
        </w:rPr>
        <w:t>ο</w:t>
      </w:r>
      <w:r w:rsidR="000E47EE">
        <w:rPr>
          <w:rFonts w:ascii="Arial" w:hAnsi="Arial" w:cs="Arial"/>
          <w:sz w:val="22"/>
          <w:szCs w:val="22"/>
        </w:rPr>
        <w:t xml:space="preserve"> &amp; 14</w:t>
      </w:r>
      <w:r w:rsidR="000E47EE" w:rsidRPr="000E47EE">
        <w:rPr>
          <w:rFonts w:ascii="Arial" w:hAnsi="Arial" w:cs="Arial"/>
          <w:sz w:val="22"/>
          <w:szCs w:val="22"/>
          <w:vertAlign w:val="superscript"/>
        </w:rPr>
        <w:t>ο</w:t>
      </w:r>
      <w:r w:rsidR="000E47EE">
        <w:rPr>
          <w:rFonts w:ascii="Arial" w:hAnsi="Arial" w:cs="Arial"/>
          <w:sz w:val="22"/>
          <w:szCs w:val="22"/>
        </w:rPr>
        <w:t xml:space="preserve"> Θ.Η.Δ.)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9.</w:t>
      </w:r>
      <w:r w:rsidR="000E47EE">
        <w:rPr>
          <w:rFonts w:ascii="Arial" w:hAnsi="Arial" w:cs="Arial"/>
          <w:sz w:val="22"/>
          <w:szCs w:val="22"/>
        </w:rPr>
        <w:t>Τουμαράς Βασίλειος (</w:t>
      </w:r>
      <w:proofErr w:type="spellStart"/>
      <w:r w:rsidR="000E47EE">
        <w:rPr>
          <w:rFonts w:ascii="Arial" w:hAnsi="Arial" w:cs="Arial"/>
          <w:sz w:val="22"/>
          <w:szCs w:val="22"/>
        </w:rPr>
        <w:t>αναπλ</w:t>
      </w:r>
      <w:proofErr w:type="spellEnd"/>
      <w:r w:rsidR="000E47EE">
        <w:rPr>
          <w:rFonts w:ascii="Arial" w:hAnsi="Arial" w:cs="Arial"/>
          <w:sz w:val="22"/>
          <w:szCs w:val="22"/>
        </w:rPr>
        <w:t>/</w:t>
      </w:r>
      <w:proofErr w:type="spellStart"/>
      <w:r w:rsidR="000E47EE">
        <w:rPr>
          <w:rFonts w:ascii="Arial" w:hAnsi="Arial" w:cs="Arial"/>
          <w:sz w:val="22"/>
          <w:szCs w:val="22"/>
        </w:rPr>
        <w:t>κό</w:t>
      </w:r>
      <w:proofErr w:type="spellEnd"/>
      <w:r w:rsidR="000E47EE">
        <w:rPr>
          <w:rFonts w:ascii="Arial" w:hAnsi="Arial" w:cs="Arial"/>
          <w:sz w:val="22"/>
          <w:szCs w:val="22"/>
        </w:rPr>
        <w:t xml:space="preserve"> μέλος)</w:t>
      </w: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  <w:r w:rsidRPr="0036474F">
        <w:rPr>
          <w:rFonts w:ascii="Calibri" w:hAnsi="Calibri" w:cs="Calibri"/>
          <w:sz w:val="22"/>
          <w:szCs w:val="22"/>
        </w:rPr>
        <w:t xml:space="preserve">                    </w:t>
      </w:r>
    </w:p>
    <w:p w:rsidR="00C31795" w:rsidRPr="000E47EE" w:rsidRDefault="00C31795" w:rsidP="00C31795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0E47EE">
        <w:rPr>
          <w:rFonts w:ascii="Arial" w:eastAsia="Arial" w:hAnsi="Arial" w:cs="Arial"/>
          <w:sz w:val="22"/>
          <w:szCs w:val="22"/>
        </w:rPr>
        <w:t xml:space="preserve">      </w:t>
      </w:r>
      <w:r w:rsidR="000E47EE" w:rsidRPr="000E47EE">
        <w:rPr>
          <w:rFonts w:ascii="Arial" w:eastAsia="Arial" w:hAnsi="Arial" w:cs="Arial"/>
          <w:sz w:val="22"/>
          <w:szCs w:val="22"/>
        </w:rPr>
        <w:t>Απ</w:t>
      </w:r>
      <w:r w:rsidR="000E69AE">
        <w:rPr>
          <w:rFonts w:ascii="Arial" w:eastAsia="Arial" w:hAnsi="Arial" w:cs="Arial"/>
          <w:sz w:val="22"/>
          <w:szCs w:val="22"/>
        </w:rPr>
        <w:t>ό</w:t>
      </w:r>
      <w:r w:rsidR="000E47EE" w:rsidRPr="000E47EE">
        <w:rPr>
          <w:rFonts w:ascii="Arial" w:eastAsia="Arial" w:hAnsi="Arial" w:cs="Arial"/>
          <w:sz w:val="22"/>
          <w:szCs w:val="22"/>
        </w:rPr>
        <w:t xml:space="preserve">ντος του </w:t>
      </w:r>
      <w:r w:rsidRPr="000E47EE">
        <w:rPr>
          <w:rFonts w:ascii="Arial" w:eastAsia="Arial" w:hAnsi="Arial" w:cs="Arial"/>
          <w:sz w:val="22"/>
          <w:szCs w:val="22"/>
        </w:rPr>
        <w:t>Πρ</w:t>
      </w:r>
      <w:r w:rsidR="000E47EE" w:rsidRPr="000E47EE">
        <w:rPr>
          <w:rFonts w:ascii="Arial" w:eastAsia="Arial" w:hAnsi="Arial" w:cs="Arial"/>
          <w:sz w:val="22"/>
          <w:szCs w:val="22"/>
        </w:rPr>
        <w:t>οέδρου</w:t>
      </w:r>
      <w:r w:rsidRPr="000E47EE">
        <w:rPr>
          <w:rFonts w:ascii="Arial" w:eastAsia="Arial" w:hAnsi="Arial" w:cs="Arial"/>
          <w:sz w:val="22"/>
          <w:szCs w:val="22"/>
        </w:rPr>
        <w:t xml:space="preserve"> της Οικονομικής Επιτροπής</w:t>
      </w:r>
      <w:r w:rsidR="000E47EE" w:rsidRPr="000E47EE">
        <w:rPr>
          <w:rFonts w:ascii="Arial" w:eastAsia="Arial" w:hAnsi="Arial" w:cs="Arial"/>
          <w:sz w:val="22"/>
          <w:szCs w:val="22"/>
        </w:rPr>
        <w:t xml:space="preserve"> , ο Αντιπρόεδρος </w:t>
      </w:r>
      <w:r w:rsidRPr="000E47EE">
        <w:rPr>
          <w:rFonts w:ascii="Arial" w:eastAsia="Arial" w:hAnsi="Arial" w:cs="Arial"/>
          <w:sz w:val="22"/>
          <w:szCs w:val="22"/>
        </w:rPr>
        <w:t xml:space="preserve"> κ. </w:t>
      </w:r>
      <w:proofErr w:type="spellStart"/>
      <w:r w:rsidR="000E47EE" w:rsidRPr="000E47EE">
        <w:rPr>
          <w:rFonts w:ascii="Arial" w:eastAsia="Arial" w:hAnsi="Arial" w:cs="Arial"/>
          <w:sz w:val="22"/>
          <w:szCs w:val="22"/>
        </w:rPr>
        <w:t>Καπλάνης</w:t>
      </w:r>
      <w:proofErr w:type="spellEnd"/>
      <w:r w:rsidR="000E47EE" w:rsidRPr="000E47EE">
        <w:rPr>
          <w:rFonts w:ascii="Arial" w:eastAsia="Arial" w:hAnsi="Arial" w:cs="Arial"/>
          <w:sz w:val="22"/>
          <w:szCs w:val="22"/>
        </w:rPr>
        <w:t xml:space="preserve"> Κωνσταντίνος</w:t>
      </w:r>
      <w:r w:rsidRPr="000E47EE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7D2CEE" w:rsidRDefault="007D2CEE" w:rsidP="007D2CEE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sz w:val="22"/>
          <w:szCs w:val="22"/>
        </w:rPr>
        <w:t xml:space="preserve">Εισηγούμενος το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F2B40">
        <w:rPr>
          <w:rFonts w:ascii="Arial" w:eastAsia="Arial" w:hAnsi="Arial" w:cs="Arial"/>
          <w:sz w:val="22"/>
          <w:szCs w:val="22"/>
        </w:rPr>
        <w:t>2</w:t>
      </w:r>
      <w:r w:rsidRPr="00ED57A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ED57AC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D57AC">
        <w:rPr>
          <w:rFonts w:ascii="Arial" w:eastAsia="Arial" w:hAnsi="Arial" w:cs="Arial"/>
          <w:sz w:val="22"/>
          <w:szCs w:val="22"/>
        </w:rPr>
        <w:t xml:space="preserve">έθεσε υπόψη των μελών  το με  </w:t>
      </w:r>
      <w:proofErr w:type="spellStart"/>
      <w:r w:rsidRPr="00ED57A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ED57A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D57AC">
        <w:rPr>
          <w:rFonts w:ascii="Arial" w:eastAsia="Arial" w:hAnsi="Arial" w:cs="Arial"/>
          <w:sz w:val="22"/>
          <w:szCs w:val="22"/>
        </w:rPr>
        <w:t xml:space="preserve">. </w:t>
      </w:r>
      <w:r w:rsidR="000E47EE">
        <w:rPr>
          <w:rFonts w:ascii="Arial" w:eastAsia="Arial" w:hAnsi="Arial" w:cs="Arial"/>
          <w:sz w:val="22"/>
          <w:szCs w:val="22"/>
        </w:rPr>
        <w:t>42</w:t>
      </w:r>
      <w:r w:rsidR="008F2B40">
        <w:rPr>
          <w:rFonts w:ascii="Arial" w:eastAsia="Arial" w:hAnsi="Arial" w:cs="Arial"/>
          <w:sz w:val="22"/>
          <w:szCs w:val="22"/>
        </w:rPr>
        <w:t>75</w:t>
      </w:r>
      <w:r w:rsidRPr="00ED57AC">
        <w:rPr>
          <w:rFonts w:ascii="Arial" w:eastAsia="Arial" w:hAnsi="Arial" w:cs="Arial"/>
          <w:sz w:val="22"/>
          <w:szCs w:val="22"/>
        </w:rPr>
        <w:t>/</w:t>
      </w:r>
      <w:r w:rsidR="000E47EE">
        <w:rPr>
          <w:rFonts w:ascii="Arial" w:eastAsia="Arial" w:hAnsi="Arial" w:cs="Arial"/>
          <w:sz w:val="22"/>
          <w:szCs w:val="22"/>
        </w:rPr>
        <w:t>1</w:t>
      </w:r>
      <w:r w:rsidR="008F2B40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-0</w:t>
      </w:r>
      <w:r w:rsidR="00696E14">
        <w:rPr>
          <w:rFonts w:ascii="Arial" w:eastAsia="Arial" w:hAnsi="Arial" w:cs="Arial"/>
          <w:sz w:val="22"/>
          <w:szCs w:val="22"/>
        </w:rPr>
        <w:t>3</w:t>
      </w:r>
      <w:r w:rsidRPr="00ED57A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ED57AC">
        <w:rPr>
          <w:rFonts w:ascii="Arial" w:hAnsi="Arial" w:cs="Arial"/>
          <w:sz w:val="22"/>
          <w:szCs w:val="22"/>
        </w:rPr>
        <w:t xml:space="preserve">  </w:t>
      </w:r>
      <w:r w:rsidRPr="002A5487">
        <w:rPr>
          <w:rFonts w:ascii="Arial" w:eastAsia="Arial" w:hAnsi="Arial" w:cs="Arial"/>
          <w:sz w:val="22"/>
          <w:szCs w:val="22"/>
        </w:rPr>
        <w:t xml:space="preserve">έγγραφο </w:t>
      </w:r>
      <w:r w:rsidR="000E47EE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0E47E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0E47EE">
        <w:rPr>
          <w:rFonts w:ascii="Arial" w:eastAsia="Arial" w:hAnsi="Arial" w:cs="Arial"/>
          <w:sz w:val="22"/>
          <w:szCs w:val="22"/>
        </w:rPr>
        <w:t xml:space="preserve"> </w:t>
      </w:r>
      <w:r w:rsidR="000E69AE">
        <w:rPr>
          <w:rFonts w:ascii="Arial" w:eastAsia="Arial" w:hAnsi="Arial" w:cs="Arial"/>
          <w:sz w:val="22"/>
          <w:szCs w:val="22"/>
        </w:rPr>
        <w:t xml:space="preserve">Διοικητικών Υπηρεσιών </w:t>
      </w:r>
      <w:r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 w:rsidRPr="002A548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A5487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A5487">
        <w:rPr>
          <w:rFonts w:ascii="Arial" w:hAnsi="Arial" w:cs="Arial"/>
          <w:sz w:val="22"/>
          <w:szCs w:val="22"/>
        </w:rPr>
        <w:t>τα παρακάτω:</w:t>
      </w:r>
      <w:r w:rsidRPr="002A5487">
        <w:rPr>
          <w:rFonts w:ascii="Arial" w:eastAsia="Arial" w:hAnsi="Arial" w:cs="Arial"/>
          <w:sz w:val="22"/>
          <w:szCs w:val="22"/>
        </w:rPr>
        <w:t xml:space="preserve">   </w:t>
      </w:r>
    </w:p>
    <w:p w:rsidR="008E444E" w:rsidRPr="000911C3" w:rsidRDefault="008E444E" w:rsidP="008E444E">
      <w:pPr>
        <w:jc w:val="both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Ισχύουσα Νομοθεσία </w:t>
      </w: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</w:rPr>
      </w:pP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Στο  άρθρο 206 του ν. 3584/07, όπως τροποποιήθηκε με την παρ. 2 του άρθρου 41 του Ν. 4325/2015 και την παρ. 2 του άρθρου 4 της Πράξης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Νομοθ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. Περιεχομένου (ΦΕΚ 102/26.08.2015 τεύχος Α’) και το άρθρο 116 του Ν.4547/2018, ορίζονται τα εξής: </w:t>
      </w: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«1. Ειδικά επιτρέπεται η πρόσληψη προσωπικού οποιασδήποτε ειδικότητας με σύμβαση εργασίας ορισμένου χρόνου από τους Ο.Τ.Α. για την αντιμετώπιση κατεπειγουσών εποχικών ή πρόσκαιρων αναγκών, με σύμβαση εργασίας ορισμένου χρόνου της οποίας η διάρκεια δεν υπερβαίνει τους δύο </w:t>
      </w:r>
      <w:r w:rsidRPr="000911C3">
        <w:rPr>
          <w:rFonts w:ascii="Arial" w:hAnsi="Arial" w:cs="Arial"/>
          <w:i/>
          <w:sz w:val="22"/>
          <w:szCs w:val="22"/>
        </w:rPr>
        <w:lastRenderedPageBreak/>
        <w:t xml:space="preserve">(2) μήνες μέσα σε συνολικό διάστημα δώδεκα (12) μηνών. Κατ' εξαίρεση, η πρόσληψη προσωπικού της ανωτέρω κατηγορίας που απασχολείται στις δημοτικές κατασκηνώσεις γίνεται με σύμβαση εργασίας ορισμένου χρόνου, της οποίας η διάρκεια δεν υπερβαίνει τους τρεις (3) μήνες σε συνολικό διάστημα δώδεκα (12) μηνών, και η πρόσληψη προσωπικού που </w:t>
      </w:r>
      <w:r w:rsidRPr="000911C3">
        <w:rPr>
          <w:rFonts w:ascii="Arial" w:hAnsi="Arial" w:cs="Arial"/>
          <w:b/>
          <w:i/>
          <w:sz w:val="22"/>
          <w:szCs w:val="22"/>
        </w:rPr>
        <w:t>απασχολείται στην πυρασφάλεια και τη ναυαγοσωστική κάλυψη των ακτών γίνεται με σύμβαση εργασίας ορισμένου χρόνου, της οποίας η διάρκεια δεν υπερβαίνει τους τέσσερις (4) μήνες σε συνολικό διάστημα δώδεκα (12) μηνών.</w:t>
      </w:r>
      <w:r w:rsidRPr="000911C3">
        <w:rPr>
          <w:rFonts w:ascii="Arial" w:hAnsi="Arial" w:cs="Arial"/>
          <w:i/>
          <w:sz w:val="22"/>
          <w:szCs w:val="22"/>
        </w:rPr>
        <w:t xml:space="preserve"> Ο υπολογισμός του δωδεκάμηνου γίνεται σύμφωνα με την παρ. 2 του άρθρου 21 του Ν.2738/1999 (Α' 180). Παράταση ή σύναψη νέας σύμβασης μέσα στο ανωτέρω δωδεκάμηνο διάστημα ή μετατροπή της σύμβασης σε αορίστου χρόνου είναι αυτοδικαίως άκυρες.</w:t>
      </w:r>
    </w:p>
    <w:p w:rsidR="008E444E" w:rsidRPr="000911C3" w:rsidRDefault="008E444E" w:rsidP="008E444E">
      <w:pPr>
        <w:pStyle w:val="Web"/>
        <w:shd w:val="clear" w:color="auto" w:fill="FFFFFF"/>
        <w:spacing w:before="0"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>Για την κίνηση διαδικασιών πρόσληψης ή διορισμού μόνιμου προσωπικού, προσωπικού με σχέση εργασίας ιδιωτικού δικαίου αορίστου χρόνου, καθώς και προσωπικού με θητεία, με σύμβαση ορισμένου χρόνου ή μίσθωσης έργου ή οποιασδήποτε άλλης μορφής στους φορείς της παρ. 1 του άρθρου 14 του Ν.2190/1994 (Α' 28) απαιτείται προηγούμενη έγκριση της ΠΥΣ 33/2006 (Α' 280), </w:t>
      </w:r>
      <w:r w:rsidRPr="000911C3">
        <w:rPr>
          <w:rStyle w:val="a5"/>
          <w:rFonts w:ascii="Arial" w:eastAsia="NSimSun" w:hAnsi="Arial" w:cs="Arial"/>
          <w:i/>
          <w:sz w:val="22"/>
          <w:szCs w:val="22"/>
        </w:rPr>
        <w:t>εξαιρουμένης</w:t>
      </w:r>
      <w:r w:rsidRPr="000911C3">
        <w:rPr>
          <w:rFonts w:ascii="Arial" w:hAnsi="Arial" w:cs="Arial"/>
          <w:i/>
          <w:sz w:val="22"/>
          <w:szCs w:val="22"/>
        </w:rPr>
        <w:t> της πρόσληψης έκτακτου προσωπικού για την εκτέλεση έργων με αυτεπιστασία και των υδρονομέων άρδευσης</w:t>
      </w:r>
      <w:r w:rsidRPr="000911C3">
        <w:rPr>
          <w:rFonts w:ascii="Arial" w:hAnsi="Arial" w:cs="Arial"/>
          <w:b/>
          <w:i/>
          <w:sz w:val="22"/>
          <w:szCs w:val="22"/>
        </w:rPr>
        <w:t>, καθώς και της πρόσληψης προσωπικού για την αντιμετώπιση κατεπειγουσών ή εποχικών ή πρόσκαιρων αναγκών</w:t>
      </w:r>
      <w:r w:rsidRPr="000911C3">
        <w:rPr>
          <w:rFonts w:ascii="Arial" w:hAnsi="Arial" w:cs="Arial"/>
          <w:i/>
          <w:sz w:val="22"/>
          <w:szCs w:val="22"/>
        </w:rPr>
        <w:t xml:space="preserve"> με σύμβαση εργασίας ορισμένου χρόνου της οποίας η διάρκεια δεν υπερβαίνει τους δύο ή κατ' εξαίρεση τους τρεις μήνες, μέσα σε συνολικό διάστημα δώδεκα μηνών στους φορείς της αυτοδιοίκησης σύμφωνα με τα οριζόμενα στο άρθρο 206 παρ. 1 του Ν.3584/2007, όπως ισχύει. (</w:t>
      </w:r>
      <w:hyperlink r:id="rId8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παρ. 20α του άρθρου 9 του ν. 4057/2012</w:t>
        </w:r>
      </w:hyperlink>
      <w:r w:rsidRPr="000911C3">
        <w:rPr>
          <w:rFonts w:ascii="Arial" w:hAnsi="Arial" w:cs="Arial"/>
          <w:i/>
          <w:sz w:val="22"/>
          <w:szCs w:val="22"/>
        </w:rPr>
        <w:t>, όπως συμπληρώθηκε από την </w:t>
      </w:r>
      <w:hyperlink r:id="rId9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παρ 22 του άρθρου 12 του ν. 4071/2012 </w:t>
        </w:r>
      </w:hyperlink>
      <w:r w:rsidRPr="000911C3">
        <w:rPr>
          <w:rFonts w:ascii="Arial" w:hAnsi="Arial" w:cs="Arial"/>
          <w:i/>
          <w:sz w:val="22"/>
          <w:szCs w:val="22"/>
        </w:rPr>
        <w:t>και αντικαταστάθηκε με το </w:t>
      </w:r>
      <w:hyperlink r:id="rId10" w:anchor="1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41 παρ. 1α Ν. 4325/2015</w:t>
        </w:r>
      </w:hyperlink>
      <w:r w:rsidRPr="000911C3">
        <w:rPr>
          <w:rFonts w:ascii="Arial" w:hAnsi="Arial" w:cs="Arial"/>
          <w:i/>
          <w:sz w:val="22"/>
          <w:szCs w:val="22"/>
        </w:rPr>
        <w:t>) </w:t>
      </w:r>
    </w:p>
    <w:p w:rsidR="008E444E" w:rsidRPr="000911C3" w:rsidRDefault="008E444E" w:rsidP="008E444E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> </w:t>
      </w:r>
    </w:p>
    <w:p w:rsidR="008E444E" w:rsidRPr="000911C3" w:rsidRDefault="008E444E" w:rsidP="008E444E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>Με την </w:t>
      </w:r>
      <w:hyperlink r:id="rId11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παρ.3.i του άρθρου 186 του Ν.4635/19</w:t>
        </w:r>
      </w:hyperlink>
      <w:r w:rsidRPr="000911C3">
        <w:rPr>
          <w:rFonts w:ascii="Arial" w:hAnsi="Arial" w:cs="Arial"/>
          <w:i/>
          <w:sz w:val="22"/>
          <w:szCs w:val="22"/>
        </w:rPr>
        <w:t>, όπως αντικαταστάθηκε με το </w:t>
      </w:r>
      <w:hyperlink r:id="rId12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49 του Ν.4674/20</w:t>
        </w:r>
      </w:hyperlink>
      <w:r w:rsidRPr="000911C3">
        <w:rPr>
          <w:rFonts w:ascii="Arial" w:hAnsi="Arial" w:cs="Arial"/>
          <w:i/>
          <w:sz w:val="22"/>
          <w:szCs w:val="22"/>
        </w:rPr>
        <w:t>, η εξαίρεση από τη διαδικασία έγκρισης της </w:t>
      </w:r>
      <w:hyperlink r:id="rId13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ΠΥΣ 33/2006 (ΦΕΚ 280 Α')</w:t>
        </w:r>
      </w:hyperlink>
      <w:r w:rsidRPr="000911C3">
        <w:rPr>
          <w:rFonts w:ascii="Arial" w:hAnsi="Arial" w:cs="Arial"/>
          <w:i/>
          <w:sz w:val="22"/>
          <w:szCs w:val="22"/>
        </w:rPr>
        <w:t> </w:t>
      </w:r>
      <w:r w:rsidRPr="000911C3">
        <w:rPr>
          <w:rStyle w:val="a5"/>
          <w:rFonts w:ascii="Arial" w:eastAsia="NSimSun" w:hAnsi="Arial" w:cs="Arial"/>
          <w:i/>
          <w:sz w:val="22"/>
          <w:szCs w:val="22"/>
        </w:rPr>
        <w:t>παραμένει</w:t>
      </w:r>
      <w:r w:rsidRPr="000911C3">
        <w:rPr>
          <w:rFonts w:ascii="Arial" w:hAnsi="Arial" w:cs="Arial"/>
          <w:i/>
          <w:sz w:val="22"/>
          <w:szCs w:val="22"/>
        </w:rPr>
        <w:t>.</w:t>
      </w: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</w:rPr>
      </w:pPr>
    </w:p>
    <w:p w:rsidR="008E444E" w:rsidRPr="000911C3" w:rsidRDefault="008E444E" w:rsidP="008E444E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>Δεν υπάγονται στις διατάξεις των Μερών Β΄ και Γ΄ του Ν.4765/21:</w:t>
      </w:r>
    </w:p>
    <w:p w:rsidR="008E444E" w:rsidRPr="000911C3" w:rsidRDefault="008E444E" w:rsidP="008E444E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>ιε. Το προσωπικό που προσλαμβάνεται για αντιμετώπιση κατεπειγουσών ή εποχικών ή πρόσκαιρων αναγκών, με σύμβαση εργασίας ορισμένου χρόνου της οποίας η διάρκεια δεν υπερβαίνει τους δύο (2) μήνες μέσα σε συνολικό διάστημα δώδεκα (12) μηνών.  (</w:t>
      </w:r>
      <w:proofErr w:type="spellStart"/>
      <w:r w:rsidR="00A579B9" w:rsidRPr="000911C3">
        <w:rPr>
          <w:rFonts w:ascii="Arial" w:hAnsi="Arial" w:cs="Arial"/>
          <w:i/>
          <w:sz w:val="22"/>
          <w:szCs w:val="22"/>
        </w:rPr>
        <w:fldChar w:fldCharType="begin"/>
      </w:r>
      <w:r w:rsidRPr="000911C3">
        <w:rPr>
          <w:rFonts w:ascii="Arial" w:hAnsi="Arial" w:cs="Arial"/>
          <w:i/>
          <w:sz w:val="22"/>
          <w:szCs w:val="22"/>
        </w:rPr>
        <w:instrText xml:space="preserve"> HYPERLINK "https://dimosnet.gr/blog/laws/%ce%ac%cf%81%ce%b8%cf%81%ce%bf-2-%cf%80%ce%b5%ce%b4%ce%af%ce%bf-%ce%b5%cf%86%ce%b1%cf%81%ce%bc%ce%bf%ce%b3%ce%ae%cf%82-%cf%84%ce%bf%cf%85-%ce%bd%cf%8c%ce%bc%ce%bf%cf%85/" \t "_blank" </w:instrText>
      </w:r>
      <w:r w:rsidR="00A579B9" w:rsidRPr="000911C3">
        <w:rPr>
          <w:rFonts w:ascii="Arial" w:hAnsi="Arial" w:cs="Arial"/>
          <w:i/>
          <w:sz w:val="22"/>
          <w:szCs w:val="22"/>
        </w:rPr>
        <w:fldChar w:fldCharType="separate"/>
      </w:r>
      <w:r w:rsidRPr="000911C3">
        <w:rPr>
          <w:rStyle w:val="-"/>
          <w:rFonts w:ascii="Arial" w:eastAsia="NSimSun" w:hAnsi="Arial" w:cs="Arial"/>
          <w:i/>
          <w:color w:val="auto"/>
          <w:sz w:val="22"/>
          <w:szCs w:val="22"/>
        </w:rPr>
        <w:t>περίπτ.ιε</w:t>
      </w:r>
      <w:proofErr w:type="spellEnd"/>
      <w:r w:rsidRPr="000911C3">
        <w:rPr>
          <w:rStyle w:val="-"/>
          <w:rFonts w:ascii="Arial" w:eastAsia="NSimSun" w:hAnsi="Arial" w:cs="Arial"/>
          <w:i/>
          <w:color w:val="auto"/>
          <w:sz w:val="22"/>
          <w:szCs w:val="22"/>
        </w:rPr>
        <w:t>' παρ.2 άρθρο 2 Ν.4765/21</w:t>
      </w:r>
      <w:r w:rsidR="00A579B9" w:rsidRPr="000911C3">
        <w:rPr>
          <w:rFonts w:ascii="Arial" w:hAnsi="Arial" w:cs="Arial"/>
          <w:i/>
          <w:sz w:val="22"/>
          <w:szCs w:val="22"/>
        </w:rPr>
        <w:fldChar w:fldCharType="end"/>
      </w:r>
      <w:r w:rsidRPr="000911C3">
        <w:rPr>
          <w:rFonts w:ascii="Arial" w:hAnsi="Arial" w:cs="Arial"/>
          <w:i/>
          <w:sz w:val="22"/>
          <w:szCs w:val="22"/>
        </w:rPr>
        <w:t>)</w:t>
      </w: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</w:rPr>
      </w:pP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  <w:u w:val="single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Ο υπολογισμός του δωδεκαμήνου γίνεται σύμφωνα </w:t>
      </w:r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με την </w:t>
      </w:r>
      <w:hyperlink r:id="rId14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παρ. 2 του άρθρου 38 του Ν.4765/21</w:t>
        </w:r>
      </w:hyperlink>
      <w:r w:rsidRPr="000911C3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. (</w:t>
      </w:r>
      <w:proofErr w:type="spellStart"/>
      <w:r w:rsidR="00A579B9" w:rsidRPr="000911C3">
        <w:rPr>
          <w:rFonts w:ascii="Arial" w:hAnsi="Arial" w:cs="Arial"/>
          <w:i/>
          <w:sz w:val="22"/>
          <w:szCs w:val="22"/>
        </w:rPr>
        <w:fldChar w:fldCharType="begin"/>
      </w:r>
      <w:r w:rsidRPr="000911C3">
        <w:rPr>
          <w:rFonts w:ascii="Arial" w:hAnsi="Arial" w:cs="Arial"/>
          <w:i/>
          <w:sz w:val="22"/>
          <w:szCs w:val="22"/>
        </w:rPr>
        <w:instrText>HYPERLINK "https://dimosnet.gr/blog/laws/%ce%ac%cf%81%ce%b8%cf%81%ce%bf-2-%cf%80%ce%b5%ce%b4%ce%af%ce%bf-%ce%b5%cf%86%ce%b1%cf%81%ce%bc%ce%bf%ce%b3%ce%ae%cf%82-%cf%84%ce%bf%cf%85-%ce%bd%cf%8c%ce%bc%ce%bf%cf%85/" \t "_blank"</w:instrText>
      </w:r>
      <w:r w:rsidR="00A579B9" w:rsidRPr="000911C3">
        <w:rPr>
          <w:rFonts w:ascii="Arial" w:hAnsi="Arial" w:cs="Arial"/>
          <w:i/>
          <w:sz w:val="22"/>
          <w:szCs w:val="22"/>
        </w:rPr>
        <w:fldChar w:fldCharType="separate"/>
      </w:r>
      <w:r w:rsidRPr="000911C3">
        <w:rPr>
          <w:rStyle w:val="-"/>
          <w:rFonts w:ascii="Arial" w:hAnsi="Arial" w:cs="Arial"/>
          <w:i/>
          <w:color w:val="auto"/>
          <w:sz w:val="22"/>
          <w:szCs w:val="22"/>
          <w:shd w:val="clear" w:color="auto" w:fill="FFFFFF"/>
        </w:rPr>
        <w:t>περίπτ.ιε</w:t>
      </w:r>
      <w:proofErr w:type="spellEnd"/>
      <w:r w:rsidRPr="000911C3">
        <w:rPr>
          <w:rStyle w:val="-"/>
          <w:rFonts w:ascii="Arial" w:hAnsi="Arial" w:cs="Arial"/>
          <w:i/>
          <w:color w:val="auto"/>
          <w:sz w:val="22"/>
          <w:szCs w:val="22"/>
          <w:shd w:val="clear" w:color="auto" w:fill="FFFFFF"/>
        </w:rPr>
        <w:t>' παρ.2 άρθρο 2 Ν.4765/21</w:t>
      </w:r>
      <w:r w:rsidR="00A579B9" w:rsidRPr="000911C3">
        <w:rPr>
          <w:rFonts w:ascii="Arial" w:hAnsi="Arial" w:cs="Arial"/>
          <w:i/>
          <w:sz w:val="22"/>
          <w:szCs w:val="22"/>
        </w:rPr>
        <w:fldChar w:fldCharType="end"/>
      </w:r>
      <w:r w:rsidRPr="000911C3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)</w:t>
      </w:r>
      <w:r w:rsidRPr="000911C3">
        <w:rPr>
          <w:rFonts w:ascii="Arial" w:hAnsi="Arial" w:cs="Arial"/>
          <w:i/>
          <w:sz w:val="22"/>
          <w:szCs w:val="22"/>
          <w:u w:val="single"/>
        </w:rPr>
        <w:t>.</w:t>
      </w: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  </w:t>
      </w:r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Παράταση ή σύναψη νέας σύμβασης μέσα στο ανωτέρω δωδεκάμηνο διάστημα ή μετατροπή της σύμβασης σε αορίστου χρόνου είναι </w:t>
      </w:r>
      <w:r w:rsidRPr="000911C3">
        <w:rPr>
          <w:rStyle w:val="a5"/>
          <w:rFonts w:ascii="Arial" w:hAnsi="Arial" w:cs="Arial"/>
          <w:i/>
          <w:sz w:val="22"/>
          <w:szCs w:val="22"/>
          <w:shd w:val="clear" w:color="auto" w:fill="FFFFFF"/>
        </w:rPr>
        <w:t>αυτοδικαίως άκυρες</w:t>
      </w:r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. (</w:t>
      </w:r>
      <w:hyperlink r:id="rId15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206 παρ 1 του ν. 3584/07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  όπως αντικαταστάθηκε με το </w:t>
      </w:r>
      <w:hyperlink r:id="rId16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41 παρ. 2 του Ν. 4325/2015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 και συμπληρώθηκε από την </w:t>
      </w:r>
      <w:hyperlink r:id="rId17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 xml:space="preserve">παρ. 2 του άρθρου 4 της Πράξης </w:t>
        </w:r>
        <w:proofErr w:type="spellStart"/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Νομοθ</w:t>
        </w:r>
        <w:proofErr w:type="spellEnd"/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. Περιεχομένου (ΦΕΚ 102/26.08.2015 τεύχος Α')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 η οποία κυρώθηκε με το </w:t>
      </w:r>
      <w:hyperlink r:id="rId18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9 του Ν.4350/15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 και αντικαταστάθηκε από το </w:t>
      </w:r>
      <w:hyperlink r:id="rId19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</w:rPr>
          <w:t>άρθρο 116 του Ν. 4547/18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) (</w:t>
      </w:r>
      <w:proofErr w:type="spellStart"/>
      <w:r w:rsidR="00A579B9" w:rsidRPr="000911C3">
        <w:rPr>
          <w:rFonts w:ascii="Arial" w:hAnsi="Arial" w:cs="Arial"/>
          <w:i/>
          <w:sz w:val="22"/>
          <w:szCs w:val="22"/>
        </w:rPr>
        <w:fldChar w:fldCharType="begin"/>
      </w:r>
      <w:r w:rsidRPr="000911C3">
        <w:rPr>
          <w:rFonts w:ascii="Arial" w:hAnsi="Arial" w:cs="Arial"/>
          <w:i/>
          <w:sz w:val="22"/>
          <w:szCs w:val="22"/>
        </w:rPr>
        <w:instrText>HYPERLINK "https://dimosnet.gr/blog/laws/%ce%ac%cf%81%ce%b8%cf%81%ce%bf-2-%cf%80%ce%b5%ce%b4%ce%af%ce%bf-%ce%b5%cf%86%ce%b1%cf%81%ce%bc%ce%bf%ce%b3%ce%ae%cf%82-%cf%84%ce%bf%cf%85-%ce%bd%cf%8c%ce%bc%ce%bf%cf%85/" \t "_blank"</w:instrText>
      </w:r>
      <w:r w:rsidR="00A579B9" w:rsidRPr="000911C3">
        <w:rPr>
          <w:rFonts w:ascii="Arial" w:hAnsi="Arial" w:cs="Arial"/>
          <w:i/>
          <w:sz w:val="22"/>
          <w:szCs w:val="22"/>
        </w:rPr>
        <w:fldChar w:fldCharType="separate"/>
      </w:r>
      <w:r w:rsidRPr="000911C3">
        <w:rPr>
          <w:rStyle w:val="-"/>
          <w:rFonts w:ascii="Arial" w:hAnsi="Arial" w:cs="Arial"/>
          <w:i/>
          <w:color w:val="auto"/>
          <w:sz w:val="22"/>
          <w:szCs w:val="22"/>
        </w:rPr>
        <w:t>περίπτ.ιε</w:t>
      </w:r>
      <w:proofErr w:type="spellEnd"/>
      <w:r w:rsidRPr="000911C3">
        <w:rPr>
          <w:rStyle w:val="-"/>
          <w:rFonts w:ascii="Arial" w:hAnsi="Arial" w:cs="Arial"/>
          <w:i/>
          <w:color w:val="auto"/>
          <w:sz w:val="22"/>
          <w:szCs w:val="22"/>
        </w:rPr>
        <w:t>' παρ.2 άρθρο 2 Ν.4765/21</w:t>
      </w:r>
      <w:r w:rsidR="00A579B9" w:rsidRPr="000911C3">
        <w:rPr>
          <w:rFonts w:ascii="Arial" w:hAnsi="Arial" w:cs="Arial"/>
          <w:i/>
          <w:sz w:val="22"/>
          <w:szCs w:val="22"/>
        </w:rPr>
        <w:fldChar w:fldCharType="end"/>
      </w:r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).</w:t>
      </w:r>
    </w:p>
    <w:p w:rsidR="008E444E" w:rsidRPr="000911C3" w:rsidRDefault="008E444E" w:rsidP="008E444E">
      <w:pPr>
        <w:pStyle w:val="ad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 Σύμφωνα με την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περίπτ.δ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 της παρ.1 του άρθρου 72 του Ν.3852/10 όπως αντικαταστάθηκε από την </w:t>
      </w:r>
      <w:hyperlink r:id="rId20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παρ.1 του άρθρου 3 του Ν.4623/19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 και την </w:t>
      </w:r>
      <w:hyperlink r:id="rId21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παρ.1 του άρθρου 40 του Ν.4735/20</w:t>
        </w:r>
      </w:hyperlink>
      <w:r w:rsidRPr="000911C3">
        <w:rPr>
          <w:rFonts w:ascii="Arial" w:hAnsi="Arial" w:cs="Arial"/>
          <w:i/>
          <w:sz w:val="22"/>
          <w:szCs w:val="22"/>
          <w:shd w:val="clear" w:color="auto" w:fill="FFFFFF"/>
        </w:rPr>
        <w:t> και την </w:t>
      </w:r>
      <w:hyperlink r:id="rId22" w:tgtFrame="_blank" w:history="1">
        <w:r w:rsidRPr="000911C3">
          <w:rPr>
            <w:rStyle w:val="-"/>
            <w:rFonts w:ascii="Arial" w:hAnsi="Arial" w:cs="Arial"/>
            <w:i/>
            <w:color w:val="auto"/>
            <w:sz w:val="22"/>
            <w:szCs w:val="22"/>
            <w:shd w:val="clear" w:color="auto" w:fill="FFFFFF"/>
          </w:rPr>
          <w:t>παρ. 1 του άρθρου 38 του Ν.4795/21</w:t>
        </w:r>
      </w:hyperlink>
      <w:r w:rsidRPr="000911C3">
        <w:rPr>
          <w:rFonts w:ascii="Arial" w:hAnsi="Arial" w:cs="Arial"/>
          <w:i/>
          <w:sz w:val="22"/>
          <w:szCs w:val="22"/>
        </w:rPr>
        <w:t xml:space="preserve"> ,  η Οικονομική Επιτροπή αποφασίζει   και για την αναγκαιότητα πρόσληψης του προσωπικού των άρθρων 206, 209, 211 του ν. 3584/2007 και 36 του ν. 4765/2021.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Με το με αρ.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. 4241/16.3.2022   έγγραφό του ο Προϊστάμενος  Διεύθυνσης Περιβάλλοντος του Δήμου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  εισηγείται ότι για την αποτελεσματική αντιμετώπιση των κινδύνων ενόψει της θερινής περιόδου, προβάλλει επιτακτική η ανάγκη να γίνουν οι  απαραίτητες εργασίες καθαρισμού και προστασίας για την πρόληψη και αποφυγή πυρκαγιών, σε δάση,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περιαστικό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 πράσινο και κάθε χώρο πρασίνου. 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lastRenderedPageBreak/>
        <w:t xml:space="preserve">Οι ανάγκες της προστασίας των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περιαστικών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 δασών από τις  πυρκαγιές είναι εποχιακές , πρόσκαιρες και περιοδικές και η συνολική τους διάρκεια δεν πρόκειται να ξεπεράσει τους τέσσερις (4) μήνες .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Επειδή το  υπάρχον προσωπικό του Δήμου δεν επαρκεί για τις έκτακτες και αυξημένες ανάγκες του συγκεκριμένου τομέα, καθότι θα απαιτηθεί να γίνει το συντομότερο δυνατό μιας και ο καθαρισμός των περιοχών εκτείνεται σε μεγάλη έκταση, κρίνεται επιτακτική η ανάγκη πρόσληψης δέκα (10) ατόμων,  ειδικότητας ΥΕ Εργατών Γενικών Καθηκόντων, με σχέση εργασίας ιδιωτικού δικαίου ορισμένου χρόνου  δίμηνης διάρκειας για τις εποχιακές και πρόσκαιρες  ανάγκες της  προστασίας των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περιαστικών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 δασών από τις πυρκαγιές.  </w:t>
      </w:r>
    </w:p>
    <w:p w:rsidR="008E444E" w:rsidRPr="000911C3" w:rsidRDefault="008E444E" w:rsidP="008E444E">
      <w:pPr>
        <w:pStyle w:val="af2"/>
        <w:spacing w:line="276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>Κατόπιν τούτων καλείστε να αποφασίσετε: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Για την έγκριση πρόσληψης προσωπικού συνολικά δέκα  (10) ατόμων, με σύμβαση ορισμένου χρόνου,  διάρκειας δύο (2) μηνών ,  για την αντιμετώπιση  των  εποχιακών και  πρόσκαιρων  αναγκών  πυροπροστασίας του Δήμου, για τους λόγους που προαναφέρονται , και συγκεκριμένα : 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3912"/>
        <w:gridCol w:w="2433"/>
        <w:gridCol w:w="2434"/>
      </w:tblGrid>
      <w:tr w:rsidR="008E444E" w:rsidRPr="000911C3" w:rsidTr="007674B3">
        <w:tc>
          <w:tcPr>
            <w:tcW w:w="959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b/>
                <w:i/>
                <w:sz w:val="22"/>
                <w:szCs w:val="22"/>
              </w:rPr>
              <w:t>α/α</w:t>
            </w:r>
          </w:p>
        </w:tc>
        <w:tc>
          <w:tcPr>
            <w:tcW w:w="3967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ΕΙΔΙΚΟΤΗΤΑ </w:t>
            </w:r>
          </w:p>
        </w:tc>
        <w:tc>
          <w:tcPr>
            <w:tcW w:w="2464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b/>
                <w:i/>
                <w:sz w:val="22"/>
                <w:szCs w:val="22"/>
              </w:rPr>
              <w:t>ΑΡΙΘΜΟΣ</w:t>
            </w:r>
          </w:p>
        </w:tc>
        <w:tc>
          <w:tcPr>
            <w:tcW w:w="2464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b/>
                <w:i/>
                <w:sz w:val="22"/>
                <w:szCs w:val="22"/>
              </w:rPr>
              <w:t>ΧΡΟΝΙΚΗ ΔΙΑΡΚΕΙΑ</w:t>
            </w:r>
          </w:p>
        </w:tc>
      </w:tr>
      <w:tr w:rsidR="008E444E" w:rsidRPr="000911C3" w:rsidTr="007674B3">
        <w:tc>
          <w:tcPr>
            <w:tcW w:w="959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i/>
                <w:sz w:val="22"/>
                <w:szCs w:val="22"/>
              </w:rPr>
              <w:t>ΥΕ ΕΡΓΑΤΩΝ ΓΕΝΙΚΩΝ ΚΑΘΗΚΟΝΤΩΝ</w:t>
            </w:r>
          </w:p>
        </w:tc>
        <w:tc>
          <w:tcPr>
            <w:tcW w:w="2464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2464" w:type="dxa"/>
          </w:tcPr>
          <w:p w:rsidR="008E444E" w:rsidRPr="000911C3" w:rsidRDefault="008E444E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0911C3">
              <w:rPr>
                <w:rFonts w:ascii="Arial" w:hAnsi="Arial" w:cs="Arial"/>
                <w:i/>
                <w:sz w:val="22"/>
                <w:szCs w:val="22"/>
              </w:rPr>
              <w:t xml:space="preserve">2 ΜΗΝΕΣ </w:t>
            </w:r>
          </w:p>
        </w:tc>
      </w:tr>
    </w:tbl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</w:p>
    <w:p w:rsidR="008E444E" w:rsidRPr="000911C3" w:rsidRDefault="008E444E" w:rsidP="008E444E">
      <w:pPr>
        <w:pStyle w:val="af2"/>
        <w:spacing w:line="276" w:lineRule="auto"/>
        <w:ind w:firstLine="0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Η δαπάνη των αποδοχών των δέκα  (10 ) ατόμων ειδικότητας ΥΕ Εργατών Γενικών Καθηκόντων, σύμφωνα με την αρ. </w:t>
      </w:r>
      <w:proofErr w:type="spellStart"/>
      <w:r w:rsidRPr="000911C3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0911C3">
        <w:rPr>
          <w:rFonts w:ascii="Arial" w:hAnsi="Arial" w:cs="Arial"/>
          <w:i/>
          <w:sz w:val="22"/>
          <w:szCs w:val="22"/>
        </w:rPr>
        <w:t xml:space="preserve">. 4049/14.3.2022  Βεβαίωση της Οικονομικής Υπηρεσίας ,   θα βαρύνει  τους παρακάτω Κ.Α  του προϋπολογισμού εξόδων του Δήμου  οικ. έτους 2022  : 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1. Κ.Α 35/6041 « Τακτικές αποδοχές έκτακτου προσωπικού» στο οποίο υπάρχει  εγγεγραμμένη πίστωση ύψους 32.280,00 ευρώ </w:t>
      </w:r>
    </w:p>
    <w:p w:rsidR="008E444E" w:rsidRPr="000911C3" w:rsidRDefault="008E444E" w:rsidP="008E444E">
      <w:pPr>
        <w:pStyle w:val="af2"/>
        <w:spacing w:line="276" w:lineRule="auto"/>
        <w:rPr>
          <w:rFonts w:ascii="Arial" w:hAnsi="Arial" w:cs="Arial"/>
          <w:i/>
          <w:sz w:val="22"/>
          <w:szCs w:val="22"/>
        </w:rPr>
      </w:pPr>
      <w:r w:rsidRPr="000911C3">
        <w:rPr>
          <w:rFonts w:ascii="Arial" w:hAnsi="Arial" w:cs="Arial"/>
          <w:i/>
          <w:sz w:val="22"/>
          <w:szCs w:val="22"/>
        </w:rPr>
        <w:t xml:space="preserve">2.  Κ.Α  35/6054.001 « Εργοδοτικές εισφορές  ΙΚΑ (ΕΦΚΑ) έκτακτου προσωπικού » ,  στον οποίο είναι εγγεγραμμένη πίστωση 7.854,00 </w:t>
      </w:r>
      <w:r w:rsidRPr="000911C3">
        <w:rPr>
          <w:rFonts w:ascii="Arial" w:hAnsi="Arial" w:cs="Arial"/>
          <w:bCs/>
          <w:i/>
          <w:sz w:val="22"/>
          <w:szCs w:val="22"/>
        </w:rPr>
        <w:t>ευρώ</w:t>
      </w:r>
      <w:r w:rsidRPr="000911C3">
        <w:rPr>
          <w:rFonts w:ascii="Arial" w:hAnsi="Arial" w:cs="Arial"/>
          <w:i/>
          <w:sz w:val="22"/>
          <w:szCs w:val="22"/>
        </w:rPr>
        <w:t>.</w:t>
      </w:r>
    </w:p>
    <w:p w:rsidR="008319EA" w:rsidRPr="008319EA" w:rsidRDefault="008319EA" w:rsidP="008319EA">
      <w:pPr>
        <w:rPr>
          <w:rFonts w:ascii="Arial" w:hAnsi="Arial" w:cs="Arial"/>
          <w:i/>
          <w:sz w:val="22"/>
          <w:szCs w:val="22"/>
        </w:rPr>
      </w:pPr>
    </w:p>
    <w:p w:rsidR="008426F8" w:rsidRPr="00BE6767" w:rsidRDefault="008426F8" w:rsidP="00960DDD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DE7E95" w:rsidRDefault="00696E14" w:rsidP="00DE7E95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</w:t>
      </w:r>
      <w:r w:rsidR="00DE7E95" w:rsidRPr="00D87989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="00DE7E95" w:rsidRPr="00D87989">
        <w:rPr>
          <w:rFonts w:ascii="Arial" w:hAnsi="Arial" w:cs="Arial"/>
          <w:bCs/>
          <w:sz w:val="22"/>
          <w:szCs w:val="22"/>
        </w:rPr>
        <w:t>υ            Ν.3852/20</w:t>
      </w:r>
      <w:r w:rsidR="00DE7E95" w:rsidRPr="00D8798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DE7E95" w:rsidRPr="00FE770C" w:rsidRDefault="00DE7E95" w:rsidP="00DE7E95">
      <w:pPr>
        <w:pStyle w:val="29"/>
        <w:tabs>
          <w:tab w:val="center" w:pos="8460"/>
        </w:tabs>
        <w:suppressAutoHyphens w:val="0"/>
        <w:spacing w:before="52"/>
        <w:ind w:left="0"/>
        <w:jc w:val="both"/>
        <w:rPr>
          <w:rFonts w:ascii="Arial" w:hAnsi="Arial" w:cs="Arial"/>
          <w:sz w:val="22"/>
          <w:szCs w:val="22"/>
        </w:rPr>
      </w:pP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Τις διατάξεις του άρθρου 206 του ν. 3584/07, όπως τροποποιήθηκε με την παρ. 2 του άρθρου 41 του Ν. 4325/2015 και την παρ. 2 του άρθρου 4 της Πράξης 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Νομοθ</w:t>
      </w:r>
      <w:proofErr w:type="spellEnd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. Περιεχομένου (ΦΕΚ 102/26.08.2015 τεύχος Α’) και το άρθρο 116 του Ν.4547/2018,</w:t>
      </w:r>
    </w:p>
    <w:p w:rsidR="005005A3" w:rsidRPr="00FE770C" w:rsidRDefault="00DE7E95" w:rsidP="005005A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.  4275</w:t>
      </w:r>
      <w:r w:rsidR="005005A3" w:rsidRPr="00FE770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17</w:t>
      </w:r>
      <w:r w:rsidR="005005A3" w:rsidRPr="00FE770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-03-202</w:t>
      </w:r>
      <w:r w:rsidR="002F76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</w:t>
      </w:r>
      <w:r w:rsidR="005005A3" w:rsidRPr="00FE770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έγγραφο της Δ/</w:t>
      </w:r>
      <w:proofErr w:type="spellStart"/>
      <w:r w:rsidR="005005A3" w:rsidRPr="00FE770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5005A3" w:rsidRPr="00FE770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Διοικητικών Υπηρεσιών</w:t>
      </w:r>
    </w:p>
    <w:p w:rsidR="005005A3" w:rsidRDefault="005005A3" w:rsidP="005005A3">
      <w:pPr>
        <w:pStyle w:val="29"/>
        <w:tabs>
          <w:tab w:val="center" w:pos="8460"/>
        </w:tabs>
        <w:suppressAutoHyphens w:val="0"/>
        <w:spacing w:before="52"/>
        <w:ind w:left="0"/>
        <w:jc w:val="both"/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</w:pP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Το 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4241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/1</w:t>
      </w:r>
      <w:r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6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-03-202</w:t>
      </w:r>
      <w:r w:rsidR="00FC095D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2</w:t>
      </w:r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έγγραφο του Προϊσταμένου της Δ/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Περιβάλλοντος του Δήμου </w:t>
      </w:r>
      <w:proofErr w:type="spellStart"/>
      <w:r w:rsidRPr="00FE770C">
        <w:rPr>
          <w:rStyle w:val="FontStyle45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</w:p>
    <w:p w:rsidR="002F7609" w:rsidRPr="00FE770C" w:rsidRDefault="002F7609" w:rsidP="005005A3">
      <w:pPr>
        <w:pStyle w:val="29"/>
        <w:tabs>
          <w:tab w:val="center" w:pos="8460"/>
        </w:tabs>
        <w:suppressAutoHyphens w:val="0"/>
        <w:spacing w:before="52"/>
        <w:ind w:left="0"/>
        <w:jc w:val="both"/>
        <w:rPr>
          <w:rFonts w:ascii="Arial" w:hAnsi="Arial" w:cs="Arial"/>
          <w:sz w:val="22"/>
          <w:szCs w:val="22"/>
        </w:rPr>
      </w:pPr>
      <w:r>
        <w:rPr>
          <w:rStyle w:val="FontStyle45"/>
          <w:i w:val="0"/>
          <w:color w:val="000000"/>
          <w:sz w:val="22"/>
          <w:szCs w:val="22"/>
          <w:shd w:val="clear" w:color="auto" w:fill="FFFFFF"/>
          <w:lang w:eastAsia="el-GR"/>
        </w:rPr>
        <w:t>-Την με αριθ. Πρωτ.4049/14-03-2022 Βεβαίωση της Οικονομικής Υπηρεσίας</w:t>
      </w:r>
    </w:p>
    <w:p w:rsidR="005005A3" w:rsidRPr="00FE770C" w:rsidRDefault="005005A3" w:rsidP="005005A3">
      <w:pPr>
        <w:pStyle w:val="29"/>
        <w:tabs>
          <w:tab w:val="center" w:pos="8460"/>
        </w:tabs>
        <w:suppressAutoHyphens w:val="0"/>
        <w:spacing w:before="5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/>
        </w:rPr>
        <w:t>-Τ</w:t>
      </w:r>
      <w:r w:rsidRPr="00FE770C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eastAsia="el-GR"/>
        </w:rPr>
        <w:t>ις εγγεγραμμένες πιστώσεις για το σκοπό αυτό στον προϋπολογισμό του Δήμου οικ. Έτους 20</w:t>
      </w:r>
      <w:r w:rsidRPr="00FE770C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2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2</w:t>
      </w:r>
    </w:p>
    <w:p w:rsidR="00696E14" w:rsidRPr="00D87989" w:rsidRDefault="00696E14" w:rsidP="005005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696E14" w:rsidRPr="00D87989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696E14" w:rsidRPr="00D87989" w:rsidRDefault="00696E14" w:rsidP="00696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96E14" w:rsidRPr="00D87989" w:rsidRDefault="00696E14" w:rsidP="00696E14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</w:t>
      </w:r>
      <w:r w:rsidRPr="00D87989">
        <w:rPr>
          <w:rFonts w:ascii="Arial" w:hAnsi="Arial" w:cs="Arial"/>
          <w:sz w:val="22"/>
          <w:szCs w:val="22"/>
        </w:rPr>
        <w:lastRenderedPageBreak/>
        <w:t xml:space="preserve">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-19»</w:t>
      </w:r>
    </w:p>
    <w:p w:rsidR="00696E14" w:rsidRPr="00D87989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696E14" w:rsidRPr="00D87989" w:rsidRDefault="00696E14" w:rsidP="00696E14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696E14" w:rsidRDefault="00696E14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8319EA" w:rsidRPr="00D87989" w:rsidRDefault="008319EA" w:rsidP="00696E1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96E14" w:rsidRDefault="00696E14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8319EA" w:rsidRPr="00D87989" w:rsidRDefault="008319EA" w:rsidP="00696E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17C35" w:rsidRPr="001977F5" w:rsidRDefault="00B17C35" w:rsidP="00B17C35">
      <w:pPr>
        <w:spacing w:line="360" w:lineRule="auto"/>
        <w:ind w:hanging="57"/>
        <w:jc w:val="both"/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  <w:lang w:eastAsia="el-GR"/>
        </w:rPr>
      </w:pPr>
      <w:r w:rsidRPr="00DD0156">
        <w:rPr>
          <w:rFonts w:ascii="Arial" w:eastAsia="Calibri" w:hAnsi="Arial" w:cs="Arial"/>
          <w:b/>
          <w:bCs/>
          <w:color w:val="000000"/>
          <w:sz w:val="22"/>
          <w:szCs w:val="22"/>
          <w:lang w:eastAsia="el-GR"/>
        </w:rPr>
        <w:t xml:space="preserve">Α. </w:t>
      </w:r>
      <w:r w:rsidRPr="00DD0156">
        <w:rPr>
          <w:rFonts w:ascii="Arial" w:eastAsia="Arial" w:hAnsi="Arial" w:cs="Arial"/>
          <w:b/>
          <w:bCs/>
          <w:color w:val="000000"/>
          <w:sz w:val="22"/>
          <w:szCs w:val="22"/>
          <w:lang w:eastAsia="el-GR"/>
        </w:rPr>
        <w:t>Εγκρίνει</w:t>
      </w:r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την πρόσληψη προσωπικού  ΔΕΚΑ</w:t>
      </w:r>
      <w:r w:rsidRPr="00DD0156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 (</w:t>
      </w:r>
      <w:r>
        <w:rPr>
          <w:rFonts w:ascii="Arial" w:eastAsia="Arial" w:hAnsi="Arial" w:cs="Arial"/>
          <w:color w:val="000000"/>
          <w:sz w:val="22"/>
          <w:szCs w:val="22"/>
          <w:lang w:eastAsia="el-GR"/>
        </w:rPr>
        <w:t>10</w:t>
      </w:r>
      <w:r w:rsidRPr="00DD0156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) ατόμων, με σχέση εργασίας Ιδιωτικού Δικαίου Ορισμένου Χρόνου,  χρονικής διάρκειας   ΔΥΟ  (2) μηνών, </w:t>
      </w:r>
      <w:r w:rsidRPr="00DD0156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για την αντιμετώπιση  των  </w:t>
      </w:r>
      <w:r w:rsidRPr="001977F5"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εποχιακών και  πρόσκαιρων  αναγκών  πυροπροστασίας του Δήμου και συγκεκριμένα: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763"/>
        <w:gridCol w:w="2432"/>
        <w:gridCol w:w="2432"/>
      </w:tblGrid>
      <w:tr w:rsidR="001977F5" w:rsidRPr="001977F5" w:rsidTr="007674B3">
        <w:tc>
          <w:tcPr>
            <w:tcW w:w="1101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763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 xml:space="preserve">ΕΙΔΙΚΟΤΗΤΑ </w:t>
            </w:r>
          </w:p>
        </w:tc>
        <w:tc>
          <w:tcPr>
            <w:tcW w:w="2432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>ΑΡΙΘΜΟΣ</w:t>
            </w:r>
          </w:p>
        </w:tc>
        <w:tc>
          <w:tcPr>
            <w:tcW w:w="2432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977F5">
              <w:rPr>
                <w:rFonts w:ascii="Arial" w:hAnsi="Arial" w:cs="Arial"/>
                <w:b/>
                <w:sz w:val="22"/>
                <w:szCs w:val="22"/>
              </w:rPr>
              <w:t>ΧΡΟΝΙΚΗ ΔΙΑΡΚΕΙΑ</w:t>
            </w:r>
          </w:p>
        </w:tc>
      </w:tr>
      <w:tr w:rsidR="001977F5" w:rsidRPr="001977F5" w:rsidTr="007674B3">
        <w:tc>
          <w:tcPr>
            <w:tcW w:w="1101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63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>ΥΕ ΕΡΓΑΤΩΝ ΓΕΝΙΚΩΝ ΚΑΘΗΚΟΝΤΩΝ</w:t>
            </w:r>
          </w:p>
        </w:tc>
        <w:tc>
          <w:tcPr>
            <w:tcW w:w="2432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32" w:type="dxa"/>
          </w:tcPr>
          <w:p w:rsidR="001977F5" w:rsidRPr="001977F5" w:rsidRDefault="001977F5" w:rsidP="007674B3">
            <w:pPr>
              <w:pStyle w:val="af2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 xml:space="preserve">2 ΜΗΝΕΣ </w:t>
            </w:r>
          </w:p>
        </w:tc>
      </w:tr>
    </w:tbl>
    <w:p w:rsidR="00B17C35" w:rsidRPr="00DD0156" w:rsidRDefault="00B17C35" w:rsidP="00B17C35">
      <w:pPr>
        <w:spacing w:line="360" w:lineRule="auto"/>
        <w:ind w:hanging="57"/>
        <w:jc w:val="both"/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  <w:lang w:val="en-US" w:eastAsia="el-GR"/>
        </w:rPr>
      </w:pPr>
    </w:p>
    <w:p w:rsidR="00B17C35" w:rsidRPr="00DD0156" w:rsidRDefault="00B17C35" w:rsidP="00B17C35">
      <w:pPr>
        <w:tabs>
          <w:tab w:val="num" w:pos="810"/>
        </w:tabs>
        <w:spacing w:line="360" w:lineRule="auto"/>
        <w:ind w:hanging="57"/>
        <w:jc w:val="both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b/>
          <w:bCs/>
          <w:sz w:val="22"/>
          <w:szCs w:val="22"/>
        </w:rPr>
        <w:t>Β</w:t>
      </w:r>
      <w:r w:rsidRPr="00DD0156">
        <w:rPr>
          <w:rFonts w:ascii="Arial" w:hAnsi="Arial" w:cs="Arial"/>
          <w:sz w:val="22"/>
          <w:szCs w:val="22"/>
        </w:rPr>
        <w:t xml:space="preserve">. </w:t>
      </w:r>
      <w:r w:rsidRPr="0001238F">
        <w:rPr>
          <w:rFonts w:ascii="Arial" w:hAnsi="Arial" w:cs="Arial"/>
          <w:b/>
          <w:sz w:val="22"/>
          <w:szCs w:val="22"/>
        </w:rPr>
        <w:t>Η δαπάνη</w:t>
      </w:r>
      <w:r w:rsidRPr="00DD0156">
        <w:rPr>
          <w:rFonts w:ascii="Arial" w:hAnsi="Arial" w:cs="Arial"/>
          <w:sz w:val="22"/>
          <w:szCs w:val="22"/>
        </w:rPr>
        <w:t xml:space="preserve"> των αποδοχών των προσληφθέντων θα βαρύνουν τους παρακάτω  Κ.Α του προϋπολογισμού  εξόδων  οικον</w:t>
      </w:r>
      <w:r w:rsidR="001F454B">
        <w:rPr>
          <w:rFonts w:ascii="Arial" w:hAnsi="Arial" w:cs="Arial"/>
          <w:sz w:val="22"/>
          <w:szCs w:val="22"/>
        </w:rPr>
        <w:t xml:space="preserve">ομικού </w:t>
      </w:r>
      <w:r w:rsidRPr="00DD0156">
        <w:rPr>
          <w:rFonts w:ascii="Arial" w:hAnsi="Arial" w:cs="Arial"/>
          <w:sz w:val="22"/>
          <w:szCs w:val="22"/>
        </w:rPr>
        <w:t xml:space="preserve"> έτους 202</w:t>
      </w:r>
      <w:r w:rsidR="001977F5">
        <w:rPr>
          <w:rFonts w:ascii="Arial" w:hAnsi="Arial" w:cs="Arial"/>
          <w:sz w:val="22"/>
          <w:szCs w:val="22"/>
        </w:rPr>
        <w:t>2</w:t>
      </w:r>
      <w:r w:rsidR="001F454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440"/>
        <w:gridCol w:w="4760"/>
        <w:gridCol w:w="2430"/>
      </w:tblGrid>
      <w:tr w:rsidR="00B17C35" w:rsidRPr="00DD0156" w:rsidTr="007674B3">
        <w:tc>
          <w:tcPr>
            <w:tcW w:w="1101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Α/Α</w:t>
            </w:r>
          </w:p>
        </w:tc>
        <w:tc>
          <w:tcPr>
            <w:tcW w:w="1417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Κ.Α</w:t>
            </w:r>
          </w:p>
        </w:tc>
        <w:tc>
          <w:tcPr>
            <w:tcW w:w="4778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ΛΕΚΤΙΚΟ ΚΩΔΙΚΟΥ</w:t>
            </w:r>
          </w:p>
        </w:tc>
        <w:tc>
          <w:tcPr>
            <w:tcW w:w="2432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b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ΕΓΓΕΓΡΑΜΜΕΝΗ ΠΙΣΤΩΣΗ</w:t>
            </w:r>
          </w:p>
        </w:tc>
      </w:tr>
      <w:tr w:rsidR="00B17C35" w:rsidRPr="00DD0156" w:rsidTr="007674B3">
        <w:tc>
          <w:tcPr>
            <w:tcW w:w="1101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1</w:t>
            </w:r>
          </w:p>
        </w:tc>
        <w:tc>
          <w:tcPr>
            <w:tcW w:w="1417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sz w:val="22"/>
                <w:szCs w:val="22"/>
              </w:rPr>
              <w:t>35/6041</w:t>
            </w:r>
          </w:p>
        </w:tc>
        <w:tc>
          <w:tcPr>
            <w:tcW w:w="4778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sz w:val="22"/>
                <w:szCs w:val="22"/>
              </w:rPr>
              <w:t xml:space="preserve"> Τακτικές αποδοχές έκτακτου προσωπικού</w:t>
            </w:r>
          </w:p>
        </w:tc>
        <w:tc>
          <w:tcPr>
            <w:tcW w:w="2432" w:type="dxa"/>
          </w:tcPr>
          <w:p w:rsidR="00B17C35" w:rsidRPr="00DD0156" w:rsidRDefault="001977F5" w:rsidP="007674B3">
            <w:pPr>
              <w:spacing w:line="360" w:lineRule="auto"/>
              <w:jc w:val="right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>32.280,00</w:t>
            </w:r>
            <w:r w:rsidRPr="00091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7C35" w:rsidRPr="00DD0156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€</w:t>
            </w:r>
          </w:p>
        </w:tc>
      </w:tr>
      <w:tr w:rsidR="00B17C35" w:rsidRPr="00DD0156" w:rsidTr="007674B3">
        <w:tc>
          <w:tcPr>
            <w:tcW w:w="1101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2</w:t>
            </w:r>
          </w:p>
        </w:tc>
        <w:tc>
          <w:tcPr>
            <w:tcW w:w="1417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sz w:val="22"/>
                <w:szCs w:val="22"/>
              </w:rPr>
              <w:t>35/6054.001</w:t>
            </w:r>
          </w:p>
        </w:tc>
        <w:tc>
          <w:tcPr>
            <w:tcW w:w="4778" w:type="dxa"/>
          </w:tcPr>
          <w:p w:rsidR="00B17C35" w:rsidRPr="00DD0156" w:rsidRDefault="00B17C35" w:rsidP="007674B3">
            <w:pPr>
              <w:spacing w:line="360" w:lineRule="auto"/>
              <w:jc w:val="both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DD0156">
              <w:rPr>
                <w:rFonts w:ascii="Arial" w:hAnsi="Arial" w:cs="Arial"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DD0156">
              <w:rPr>
                <w:rFonts w:ascii="Arial" w:hAnsi="Arial" w:cs="Arial"/>
                <w:sz w:val="22"/>
                <w:szCs w:val="22"/>
              </w:rPr>
              <w:t xml:space="preserve">Εργοδοτικές εισφορές  ΙΚΑ (ΕΦΚΑ) έκτακτου προσωπικού </w:t>
            </w:r>
            <w:proofErr w:type="spellStart"/>
            <w:r w:rsidRPr="00DD0156">
              <w:rPr>
                <w:rFonts w:ascii="Arial" w:hAnsi="Arial" w:cs="Arial"/>
                <w:bCs/>
                <w:color w:val="000000"/>
                <w:sz w:val="22"/>
                <w:szCs w:val="22"/>
                <w:lang w:eastAsia="el-GR"/>
              </w:rPr>
              <w:t>προσωπικού</w:t>
            </w:r>
            <w:proofErr w:type="spellEnd"/>
            <w:r w:rsidRPr="00DD0156">
              <w:rPr>
                <w:rFonts w:ascii="Arial" w:hAnsi="Arial" w:cs="Arial"/>
                <w:bCs/>
                <w:color w:val="000000"/>
                <w:sz w:val="22"/>
                <w:szCs w:val="22"/>
                <w:lang w:eastAsia="el-GR"/>
              </w:rPr>
              <w:t xml:space="preserve">» </w:t>
            </w:r>
          </w:p>
        </w:tc>
        <w:tc>
          <w:tcPr>
            <w:tcW w:w="2432" w:type="dxa"/>
          </w:tcPr>
          <w:p w:rsidR="00B17C35" w:rsidRPr="00DD0156" w:rsidRDefault="00B17C35" w:rsidP="007674B3">
            <w:pPr>
              <w:spacing w:line="360" w:lineRule="auto"/>
              <w:jc w:val="right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</w:p>
          <w:p w:rsidR="00B17C35" w:rsidRPr="001977F5" w:rsidRDefault="001977F5" w:rsidP="007674B3">
            <w:pPr>
              <w:spacing w:line="360" w:lineRule="auto"/>
              <w:jc w:val="right"/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</w:pPr>
            <w:r w:rsidRPr="001977F5">
              <w:rPr>
                <w:rFonts w:ascii="Arial" w:hAnsi="Arial" w:cs="Arial"/>
                <w:sz w:val="22"/>
                <w:szCs w:val="22"/>
              </w:rPr>
              <w:t xml:space="preserve">7.854,00 </w:t>
            </w:r>
            <w:r w:rsidR="00B17C35" w:rsidRPr="001977F5">
              <w:rPr>
                <w:rFonts w:ascii="Arial" w:eastAsia="Verdana" w:hAnsi="Arial" w:cs="Arial"/>
                <w:color w:val="00000A"/>
                <w:kern w:val="1"/>
                <w:sz w:val="22"/>
                <w:szCs w:val="22"/>
                <w:shd w:val="clear" w:color="auto" w:fill="FFFFFF"/>
                <w:lang w:eastAsia="el-GR"/>
              </w:rPr>
              <w:t>€</w:t>
            </w:r>
          </w:p>
        </w:tc>
      </w:tr>
    </w:tbl>
    <w:p w:rsidR="008319EA" w:rsidRPr="00D87989" w:rsidRDefault="008319EA" w:rsidP="00696E14">
      <w:pPr>
        <w:jc w:val="both"/>
        <w:rPr>
          <w:rFonts w:ascii="Arial" w:hAnsi="Arial" w:cs="Arial"/>
          <w:sz w:val="22"/>
          <w:szCs w:val="22"/>
        </w:rPr>
      </w:pPr>
    </w:p>
    <w:p w:rsidR="003C235F" w:rsidRPr="00E13321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C7259">
        <w:rPr>
          <w:rFonts w:ascii="Arial" w:hAnsi="Arial" w:cs="Arial"/>
          <w:b/>
          <w:sz w:val="22"/>
          <w:szCs w:val="22"/>
        </w:rPr>
        <w:t>6</w:t>
      </w:r>
      <w:r w:rsidR="006E46DF">
        <w:rPr>
          <w:rFonts w:ascii="Arial" w:hAnsi="Arial" w:cs="Arial"/>
          <w:b/>
          <w:sz w:val="22"/>
          <w:szCs w:val="22"/>
        </w:rPr>
        <w:t>4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EE1D61">
        <w:rPr>
          <w:rFonts w:ascii="Arial" w:hAnsi="Arial" w:cs="Arial"/>
          <w:b/>
          <w:sz w:val="22"/>
          <w:szCs w:val="22"/>
        </w:rPr>
        <w:t>2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2C7259">
        <w:rPr>
          <w:rFonts w:ascii="Arial" w:eastAsia="Verdana" w:hAnsi="Arial" w:cs="Arial"/>
          <w:kern w:val="1"/>
          <w:sz w:val="22"/>
          <w:szCs w:val="22"/>
          <w:lang w:bidi="hi-IN"/>
        </w:rPr>
        <w:t>ΑΝΤΙ</w:t>
      </w: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2C7259">
        <w:rPr>
          <w:rFonts w:ascii="Arial" w:hAnsi="Arial" w:cs="Arial"/>
          <w:sz w:val="22"/>
          <w:szCs w:val="22"/>
        </w:rPr>
        <w:t>23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A445A6">
        <w:rPr>
          <w:rFonts w:ascii="Arial" w:hAnsi="Arial" w:cs="Arial"/>
          <w:sz w:val="22"/>
          <w:szCs w:val="22"/>
        </w:rPr>
        <w:t>03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A445A6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FD774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ΚΑΠΛΑΝΗΣ ΚΩΝΣΤΑΝΤΙΝΟ</w:t>
      </w:r>
      <w:r w:rsidR="00F55C54">
        <w:rPr>
          <w:rFonts w:ascii="Arial" w:hAnsi="Arial" w:cs="Arial"/>
          <w:sz w:val="22"/>
          <w:szCs w:val="22"/>
        </w:rPr>
        <w:t>Σ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2C7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>
        <w:rPr>
          <w:rFonts w:ascii="Arial" w:hAnsi="Arial" w:cs="Arial"/>
          <w:sz w:val="22"/>
          <w:szCs w:val="22"/>
        </w:rPr>
        <w:t>Μητάς</w:t>
      </w:r>
      <w:proofErr w:type="spellEnd"/>
      <w:r w:rsidR="00A445A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</w:t>
      </w:r>
      <w:r w:rsidR="002C7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>
        <w:rPr>
          <w:rFonts w:ascii="Arial" w:hAnsi="Arial" w:cs="Arial"/>
          <w:sz w:val="22"/>
          <w:szCs w:val="22"/>
        </w:rPr>
        <w:t>Καλογρηάς</w:t>
      </w:r>
      <w:proofErr w:type="spellEnd"/>
      <w:r w:rsidR="00A445A6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>
        <w:rPr>
          <w:rFonts w:ascii="Arial" w:hAnsi="Arial" w:cs="Arial"/>
          <w:sz w:val="22"/>
          <w:szCs w:val="22"/>
        </w:rPr>
        <w:t>Σαγιάννης</w:t>
      </w:r>
      <w:proofErr w:type="spellEnd"/>
      <w:r w:rsidR="00A445A6">
        <w:rPr>
          <w:rFonts w:ascii="Arial" w:hAnsi="Arial" w:cs="Arial"/>
          <w:sz w:val="22"/>
          <w:szCs w:val="22"/>
        </w:rPr>
        <w:t xml:space="preserve"> Μιχαήλ          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259">
        <w:rPr>
          <w:rFonts w:ascii="Arial" w:hAnsi="Arial" w:cs="Arial"/>
          <w:sz w:val="22"/>
          <w:szCs w:val="22"/>
        </w:rPr>
        <w:t>Πούλος</w:t>
      </w:r>
      <w:proofErr w:type="spellEnd"/>
      <w:r w:rsidR="002C7259">
        <w:rPr>
          <w:rFonts w:ascii="Arial" w:hAnsi="Arial" w:cs="Arial"/>
          <w:sz w:val="22"/>
          <w:szCs w:val="22"/>
        </w:rPr>
        <w:t xml:space="preserve"> Ευάγγελος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>.</w:t>
      </w:r>
      <w:r w:rsidR="002C7259">
        <w:rPr>
          <w:rFonts w:ascii="Arial" w:hAnsi="Arial" w:cs="Arial"/>
          <w:sz w:val="22"/>
          <w:szCs w:val="22"/>
        </w:rPr>
        <w:t>Τουμαράς Βασίλειος</w:t>
      </w:r>
    </w:p>
    <w:sectPr w:rsidR="00FE770C" w:rsidSect="008C56A4">
      <w:headerReference w:type="default" r:id="rId23"/>
      <w:headerReference w:type="first" r:id="rId24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D8" w:rsidRDefault="00AE04D8">
      <w:r>
        <w:separator/>
      </w:r>
    </w:p>
  </w:endnote>
  <w:endnote w:type="continuationSeparator" w:id="0">
    <w:p w:rsidR="00AE04D8" w:rsidRDefault="00AE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D8" w:rsidRDefault="00AE04D8">
      <w:r>
        <w:separator/>
      </w:r>
    </w:p>
  </w:footnote>
  <w:footnote w:type="continuationSeparator" w:id="0">
    <w:p w:rsidR="00AE04D8" w:rsidRDefault="00AE0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579B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A579B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55C5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8B37BA9"/>
    <w:multiLevelType w:val="hybridMultilevel"/>
    <w:tmpl w:val="01822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71C61"/>
    <w:multiLevelType w:val="hybridMultilevel"/>
    <w:tmpl w:val="264A5D5A"/>
    <w:lvl w:ilvl="0" w:tplc="981270D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097789"/>
    <w:multiLevelType w:val="hybridMultilevel"/>
    <w:tmpl w:val="255450BE"/>
    <w:lvl w:ilvl="0" w:tplc="34841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3A43"/>
    <w:multiLevelType w:val="hybridMultilevel"/>
    <w:tmpl w:val="2286F5B6"/>
    <w:lvl w:ilvl="0" w:tplc="C14AE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F2A4E"/>
    <w:multiLevelType w:val="hybridMultilevel"/>
    <w:tmpl w:val="61E4F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9"/>
  </w:num>
  <w:num w:numId="13">
    <w:abstractNumId w:val="11"/>
  </w:num>
  <w:num w:numId="14">
    <w:abstractNumId w:val="17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15"/>
  </w:num>
  <w:num w:numId="24">
    <w:abstractNumId w:val="5"/>
  </w:num>
  <w:num w:numId="25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238F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911C3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0E47EE"/>
    <w:rsid w:val="000E69AE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3AD"/>
    <w:rsid w:val="00165410"/>
    <w:rsid w:val="00165E13"/>
    <w:rsid w:val="0017320C"/>
    <w:rsid w:val="00181704"/>
    <w:rsid w:val="001827EC"/>
    <w:rsid w:val="00190EE2"/>
    <w:rsid w:val="00196C95"/>
    <w:rsid w:val="001977F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1F454B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259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2F7609"/>
    <w:rsid w:val="002F7F39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24AA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486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27A4"/>
    <w:rsid w:val="005005A3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50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334A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4D0C"/>
    <w:rsid w:val="00656B89"/>
    <w:rsid w:val="00663A0C"/>
    <w:rsid w:val="00681BEC"/>
    <w:rsid w:val="006908AC"/>
    <w:rsid w:val="00696E14"/>
    <w:rsid w:val="006A2925"/>
    <w:rsid w:val="006A654E"/>
    <w:rsid w:val="006B47C3"/>
    <w:rsid w:val="006C10D0"/>
    <w:rsid w:val="006C12E9"/>
    <w:rsid w:val="006C187D"/>
    <w:rsid w:val="006C1CE4"/>
    <w:rsid w:val="006C20D0"/>
    <w:rsid w:val="006D1CF9"/>
    <w:rsid w:val="006D4474"/>
    <w:rsid w:val="006E46DF"/>
    <w:rsid w:val="006E5B34"/>
    <w:rsid w:val="006F53B6"/>
    <w:rsid w:val="006F6673"/>
    <w:rsid w:val="00700DEE"/>
    <w:rsid w:val="0070421F"/>
    <w:rsid w:val="007100F2"/>
    <w:rsid w:val="0071065A"/>
    <w:rsid w:val="00721D36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50"/>
    <w:rsid w:val="007C3188"/>
    <w:rsid w:val="007C7B0F"/>
    <w:rsid w:val="007D26EA"/>
    <w:rsid w:val="007D2CEE"/>
    <w:rsid w:val="007D6B83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19EA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D1829"/>
    <w:rsid w:val="008E0542"/>
    <w:rsid w:val="008E40A5"/>
    <w:rsid w:val="008E4426"/>
    <w:rsid w:val="008E444E"/>
    <w:rsid w:val="008F1A92"/>
    <w:rsid w:val="008F26A1"/>
    <w:rsid w:val="008F2B40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2F5"/>
    <w:rsid w:val="00950918"/>
    <w:rsid w:val="00952976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025F8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3AFE"/>
    <w:rsid w:val="00A54613"/>
    <w:rsid w:val="00A568A4"/>
    <w:rsid w:val="00A56F6E"/>
    <w:rsid w:val="00A579B9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04D8"/>
    <w:rsid w:val="00AE14E6"/>
    <w:rsid w:val="00AE2D3E"/>
    <w:rsid w:val="00AF7F7C"/>
    <w:rsid w:val="00B04804"/>
    <w:rsid w:val="00B04994"/>
    <w:rsid w:val="00B050E7"/>
    <w:rsid w:val="00B16BE3"/>
    <w:rsid w:val="00B17C35"/>
    <w:rsid w:val="00B214AE"/>
    <w:rsid w:val="00B2563A"/>
    <w:rsid w:val="00B3207E"/>
    <w:rsid w:val="00B34A8D"/>
    <w:rsid w:val="00B36F68"/>
    <w:rsid w:val="00B43889"/>
    <w:rsid w:val="00B44282"/>
    <w:rsid w:val="00B523B0"/>
    <w:rsid w:val="00B567AC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0BD4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0DAA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43F8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2DD"/>
    <w:rsid w:val="00CD3402"/>
    <w:rsid w:val="00CD52EF"/>
    <w:rsid w:val="00CD60B3"/>
    <w:rsid w:val="00CE0C95"/>
    <w:rsid w:val="00CE2BBE"/>
    <w:rsid w:val="00CE314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E7E95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82AA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3352"/>
    <w:rsid w:val="00EF7AED"/>
    <w:rsid w:val="00F000A2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C54"/>
    <w:rsid w:val="00F55FB1"/>
    <w:rsid w:val="00F62440"/>
    <w:rsid w:val="00F63FD7"/>
    <w:rsid w:val="00F67033"/>
    <w:rsid w:val="00F71053"/>
    <w:rsid w:val="00F736D5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095D"/>
    <w:rsid w:val="00FC1880"/>
    <w:rsid w:val="00FC3CFB"/>
    <w:rsid w:val="00FC45E7"/>
    <w:rsid w:val="00FD424F"/>
    <w:rsid w:val="00FD774A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uiPriority w:val="99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  <w:style w:type="paragraph" w:customStyle="1" w:styleId="29">
    <w:name w:val="Παράγραφος λίστας2"/>
    <w:basedOn w:val="a"/>
    <w:rsid w:val="005005A3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%CE%AD%CE%BD%CE%B1%CF%84%CE%BF-%CE%B8%CE%AD%CE%BC%CE%B1%CF%84%CE%B1-%CE%B1%CF%81%CE%BC%CE%BF%CE%B4%CE%B9%CF%8C%CF%84%CE%B7%CF%84%CE%B1%CF%82-%CF%84%CE%BF%CF%85-%CF%85/" TargetMode="External"/><Relationship Id="rId13" Type="http://schemas.openxmlformats.org/officeDocument/2006/relationships/hyperlink" Target="https://dimosnet.gr/blog/laws/%CF%80-%CF%85-%CF%83-332006-%CF%86%CE%B5%CE%BA-28028-12-06-%CF%84%CE%B5%CF%8D%CF%87%CE%BF%CF%82-%CE%B1/" TargetMode="External"/><Relationship Id="rId18" Type="http://schemas.openxmlformats.org/officeDocument/2006/relationships/hyperlink" Target="https://dimosnet.gr/blog/laws/%CE%AC%CF%81%CE%B8%CF%81%CE%BF-9-2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9-%cf%84%cf%81%ce%bf%cf%80%ce%bf%cf%80%ce%bf%ce%af%ce%b7%cf%83%ce%b7-%cf%84%ce%bf%cf%85-%ce%ac%cf%81%ce%b8%cf%81%ce%bf%cf%85-186-%cf%84%ce%bf%cf%85-%ce%bd-46/" TargetMode="External"/><Relationship Id="rId17" Type="http://schemas.openxmlformats.org/officeDocument/2006/relationships/hyperlink" Target="https://dimosnet.gr/blog/laws/%CF%80%CF%81%CE%AC%CE%BE%CE%B7-%CE%BD%CE%BF%CE%BC%CE%BF%CE%B8-%CF%80%CE%B5%CF%81%CE%B9%CE%B5%CF%87%CE%BF%CE%BC%CE%AD%CE%BD%CE%BF%CF%85-%CF%86%CE%B5%CE%BA-10226-08-2015-%CF%84%CE%B5%CF%8D%CF%8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mosnet.gr/blog/laws/%CE%AC%CF%81%CE%B8%CF%81%CE%BF-41-9/" TargetMode="External"/><Relationship Id="rId20" Type="http://schemas.openxmlformats.org/officeDocument/2006/relationships/hyperlink" Target="https://dimosnet.gr/blog/laws/%ce%ac%cf%81%ce%b8%cf%81%ce%bf-3-%ce%b1%cf%81%ce%bc%ce%bf%ce%b4%ce%b9%cf%8c%cf%84%ce%b7%cf%84%ce%b5%cf%82-%ce%bf%ce%b9%ce%ba%ce%bf%ce%bd%ce%bf%ce%bc%ce%b9%ce%ba%ce%ae%cf%82-%ce%b5%cf%80%ce%b9%cf%8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86-%cf%81%cf%8d%ce%b8%ce%bc%ce%b9%cf%83%ce%b7-%ce%b8%ce%b5%ce%bc%ce%ac%cf%84%cf%89%ce%bd-%cf%80%cf%81%ce%bf%cf%83%ce%bb%ce%ae%cf%88%ce%b5%cf%89%ce%bd-3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imosnet.gr/blog/laws/%CE%B1%CF%81%CE%B8%CF%81%CE%BF-206-%CF%80%CF%81%CE%BF%CF%83%CF%89%CF%80%CE%B9%CE%BA%CF%8C-%CE%B3%CE%B9%CE%B1-%CE%BA%CE%B1%CF%84%CE%B5%CF%80%CE%B5%CE%AF%CE%B3%CE%BF%CF%85%CF%83%CE%B5%CF%82-%CE%B5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imosnet.gr/blog/laws/%CE%AC%CF%81%CE%B8%CF%81%CE%BF-41-9/" TargetMode="External"/><Relationship Id="rId19" Type="http://schemas.openxmlformats.org/officeDocument/2006/relationships/hyperlink" Target="https://dimosnet.gr/blog/laws/%CE%AC%CF%81%CE%B8%CF%81%CE%BF-116-%CE%B4%CE%B9%CE%AC%CF%81%CE%BA%CE%B5%CE%B9%CE%B1-%CF%83%CF%85%CE%BC%CE%B2%CE%AC%CF%83%CE%B5%CF%89%CE%BD-%CF%80%CF%81%CE%BF%CF%83%CF%89%CF%80%CE%B9%CE%BA%CE%BF%CF%8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B1%CF%81%CE%B8%CF%81%CE%BF-12-%CE%B8%CE%AD%CE%BC%CE%B1%CF%84%CE%B1-%CF%80%CF%81%CE%BF%CF%83%CF%89%CF%80%CE%B9%CE%BA%CE%BF%CF%8D-%CE%BF%CF%84%CE%B1/" TargetMode="External"/><Relationship Id="rId14" Type="http://schemas.openxmlformats.org/officeDocument/2006/relationships/hyperlink" Target="https://dimosnet.gr/blog/laws/%ce%ac%cf%81%ce%b8%cf%81%ce%bf-38-%ce%b4%ce%b9%ce%ac%cf%81%ce%ba%ce%b5%ce%b9%ce%b1-%ce%b1%cf%80%ce%b1%cf%83%cf%87%cf%8c%ce%bb%ce%b7%cf%83%ce%b7%cf%82-%cf%80%cf%81%ce%bf%cf%83%cf%89%cf%80%ce%b9%ce%ba/" TargetMode="External"/><Relationship Id="rId22" Type="http://schemas.openxmlformats.org/officeDocument/2006/relationships/hyperlink" Target="https://dimosnet.gr/blog/laws/%ce%ac%cf%81%ce%b8%cf%81%ce%bf-38-%ce%b1%cf%81%ce%bc%ce%bf%ce%b4%ce%b9%cf%8c%cf%84%ce%b7%cf%84%ce%b5%cf%82-%ce%bf%ce%b9%ce%ba%ce%bf%ce%bd%ce%bf%ce%bc%ce%b9%ce%ba%ce%ae%cf%82-%ce%b5%cf%80%ce%b9%cf%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1AEE-5D42-4D76-882F-5A9EA3F8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2491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15916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2022-03-23T09:14:00Z</cp:lastPrinted>
  <dcterms:created xsi:type="dcterms:W3CDTF">2022-03-23T07:12:00Z</dcterms:created>
  <dcterms:modified xsi:type="dcterms:W3CDTF">2022-03-23T09:28:00Z</dcterms:modified>
</cp:coreProperties>
</file>