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C8116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23099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C8116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4D6585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 w:rsidRPr="004D6585">
        <w:rPr>
          <w:rFonts w:asciiTheme="minorHAnsi" w:hAnsiTheme="minorHAnsi" w:cstheme="minorHAnsi"/>
          <w:sz w:val="22"/>
          <w:szCs w:val="22"/>
        </w:rPr>
        <w:t>5</w:t>
      </w:r>
      <w:r w:rsidRPr="004D6585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4D6585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4D658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4D658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164234"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094A98"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094A98" w:rsidRPr="004D6585" w:rsidRDefault="00262FC2" w:rsidP="00094A98">
      <w:pPr>
        <w:spacing w:line="360" w:lineRule="auto"/>
        <w:ind w:left="133"/>
        <w:jc w:val="both"/>
        <w:rPr>
          <w:sz w:val="22"/>
          <w:szCs w:val="22"/>
        </w:rPr>
      </w:pPr>
      <w:r w:rsidRPr="004D6585">
        <w:rPr>
          <w:rStyle w:val="a5"/>
          <w:rFonts w:ascii="Arial" w:hAnsi="Arial" w:cs="Arial"/>
          <w:sz w:val="22"/>
          <w:szCs w:val="22"/>
        </w:rPr>
        <w:t>ΘΕΜΑ</w:t>
      </w:r>
      <w:r w:rsidRPr="004D6585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4D6585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094A98" w:rsidRPr="00DE74AB">
        <w:rPr>
          <w:rFonts w:ascii="Arial" w:hAnsi="Arial" w:cs="Arial"/>
          <w:b/>
          <w:sz w:val="22"/>
          <w:szCs w:val="22"/>
        </w:rPr>
        <w:t xml:space="preserve">Τροποποίηση της 463/2017 απόφασης του Δημοτικού Συμβουλίου με τίτλο «ΚΑΘΟΡΙΣΜΟΣ ΤΕΛΩΝ ΚΟΙΝΟΧΡΗΣΤΩΝ ΧΩΡΩΝ ΓΙΑ ΤΟ ΟΙΚΟΝΟΜΙΚΟ ΕΤΟΣ 2018 ΚΑΙ ΕΦΕΞΗΣ» όπως έχει τροποποιηθεί και ισχύει με τις </w:t>
      </w:r>
      <w:proofErr w:type="spellStart"/>
      <w:r w:rsidR="00094A98" w:rsidRPr="00DE74AB">
        <w:rPr>
          <w:rFonts w:ascii="Arial" w:hAnsi="Arial" w:cs="Arial"/>
          <w:b/>
          <w:sz w:val="22"/>
          <w:szCs w:val="22"/>
        </w:rPr>
        <w:t>υπ΄αριθμ</w:t>
      </w:r>
      <w:proofErr w:type="spellEnd"/>
      <w:r w:rsidR="00094A98" w:rsidRPr="00DE74AB">
        <w:rPr>
          <w:rFonts w:ascii="Arial" w:hAnsi="Arial" w:cs="Arial"/>
          <w:b/>
          <w:sz w:val="22"/>
          <w:szCs w:val="22"/>
        </w:rPr>
        <w:t>. 565/2018 και 16/2021 όμοιες αποφάσεις του .(Η 324/2021 Απόφαση της Ο.Ε)</w:t>
      </w:r>
    </w:p>
    <w:p w:rsidR="00262FC2" w:rsidRPr="004D6585" w:rsidRDefault="00262FC2" w:rsidP="00094A98">
      <w:pPr>
        <w:ind w:left="133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2716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3-12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D414C4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  <w:r w:rsidR="00D414C4"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C4"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="00A94FDE"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4D6585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F59" w:rsidRPr="004D6585" w:rsidRDefault="00402F59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Στην συνεδρίαση είχαν</w:t>
      </w:r>
      <w:r w:rsidR="00FB71D5" w:rsidRPr="004D6585">
        <w:rPr>
          <w:rFonts w:ascii="Arial" w:eastAsia="Arial" w:hAnsi="Arial" w:cs="Arial"/>
          <w:sz w:val="22"/>
          <w:szCs w:val="22"/>
        </w:rPr>
        <w:t xml:space="preserve"> νομίμως </w:t>
      </w:r>
      <w:r w:rsidRPr="004D6585">
        <w:rPr>
          <w:rFonts w:ascii="Arial" w:eastAsia="Arial" w:hAnsi="Arial" w:cs="Arial"/>
          <w:sz w:val="22"/>
          <w:szCs w:val="22"/>
        </w:rPr>
        <w:t xml:space="preserve"> προσκληθεί και οι Πρόεδροι των Κοινοτήτων, εκ των οποίων </w:t>
      </w:r>
      <w:r w:rsidR="004D6585" w:rsidRPr="004D6585">
        <w:rPr>
          <w:rFonts w:ascii="Arial" w:eastAsia="Arial" w:hAnsi="Arial" w:cs="Arial"/>
          <w:sz w:val="22"/>
          <w:szCs w:val="22"/>
        </w:rPr>
        <w:t xml:space="preserve">δεν παρέστη κανείς. </w:t>
      </w:r>
    </w:p>
    <w:p w:rsidR="004D6585" w:rsidRPr="004D6585" w:rsidRDefault="004D6585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62FC2" w:rsidRPr="004D6585" w:rsidRDefault="00262FC2" w:rsidP="00262FC2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62FC2" w:rsidRPr="004D6585" w:rsidRDefault="00262FC2" w:rsidP="00262FC2">
      <w:pPr>
        <w:rPr>
          <w:rFonts w:ascii="Arial" w:hAnsi="Arial" w:cs="Arial"/>
          <w:sz w:val="22"/>
          <w:szCs w:val="22"/>
        </w:rPr>
      </w:pP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Παρούσα </w:t>
      </w:r>
      <w:r w:rsidRPr="004D6585">
        <w:rPr>
          <w:rFonts w:ascii="Arial" w:eastAsia="Calibri" w:hAnsi="Arial" w:cs="Arial"/>
          <w:sz w:val="22"/>
          <w:szCs w:val="22"/>
        </w:rPr>
        <w:t xml:space="preserve"> για την τήρηση των πρακτικών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ήταν </w:t>
      </w:r>
      <w:r w:rsidRPr="004D6585">
        <w:rPr>
          <w:rFonts w:ascii="Arial" w:eastAsia="Calibri" w:hAnsi="Arial" w:cs="Arial"/>
          <w:sz w:val="22"/>
          <w:szCs w:val="22"/>
        </w:rPr>
        <w:t xml:space="preserve"> η υπάλληλος του τμήματος Υποστήριξης Πολιτικών Οργάνων Μπαλάσκα Αγγελική.</w:t>
      </w: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7520F6" w:rsidRPr="004D6585" w:rsidRDefault="00262FC2" w:rsidP="007520F6">
      <w:pPr>
        <w:jc w:val="both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5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="00D414C4"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)</w:t>
      </w:r>
      <w:r w:rsidR="00094A98"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4D6585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24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Απόφαση της Οικονομικής Επιτροπής του 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(ΑΔΑ: </w:t>
      </w:r>
      <w:r w:rsidR="007520F6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68Ξ7ΩΛΗ-6Μ4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),</w:t>
      </w:r>
      <w:r w:rsidR="00094A98" w:rsidRPr="004D6585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 την οποία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4D6585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τον καθορισμό των τελών  κ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οινοχρήστων χώρων </w:t>
      </w:r>
      <w:r w:rsidR="003C211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τροποποίηση της αριθμ.463/2017 απόφασης του Δημοτικού </w:t>
      </w:r>
      <w:proofErr w:type="spellStart"/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Συμουλίου</w:t>
      </w:r>
      <w:proofErr w:type="spellEnd"/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όπως αυτή έχει τροποποιηθεί και ισχύει με τις αριθμ.565/2018 και 16/2021 αποφάσεις του</w:t>
      </w:r>
      <w:r w:rsidR="007520F6" w:rsidRPr="004D6585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 xml:space="preserve"> ως κατωτέρω:</w:t>
      </w:r>
    </w:p>
    <w:p w:rsidR="007520F6" w:rsidRPr="004D6585" w:rsidRDefault="007520F6" w:rsidP="007520F6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sz w:val="22"/>
          <w:szCs w:val="22"/>
        </w:rPr>
        <w:t xml:space="preserve">Την  διατήρηση και για το έτος 2022 της μείωσης  των  τελών χρήσης κοινόχρηστων χώρων  τόσο για τα </w:t>
      </w:r>
      <w:proofErr w:type="spellStart"/>
      <w:r w:rsidRPr="004D6585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4D6585">
        <w:rPr>
          <w:rFonts w:ascii="Arial" w:hAnsi="Arial" w:cs="Arial"/>
          <w:sz w:val="22"/>
          <w:szCs w:val="22"/>
        </w:rPr>
        <w:t xml:space="preserve"> των καταστημάτων υγειονομικού ενδιαφέροντος (</w:t>
      </w:r>
      <w:proofErr w:type="spellStart"/>
      <w:r w:rsidRPr="004D6585">
        <w:rPr>
          <w:rFonts w:ascii="Arial" w:hAnsi="Arial" w:cs="Arial"/>
          <w:sz w:val="22"/>
          <w:szCs w:val="22"/>
        </w:rPr>
        <w:t>παρ.1</w:t>
      </w:r>
      <w:proofErr w:type="spellEnd"/>
      <w:r w:rsidRPr="004D6585">
        <w:rPr>
          <w:rFonts w:ascii="Arial" w:hAnsi="Arial" w:cs="Arial"/>
          <w:sz w:val="22"/>
          <w:szCs w:val="22"/>
        </w:rPr>
        <w:t xml:space="preserve"> Α,Β,Γ της 463/2017 απόφασης του Δ.Σ.) όσο και των περιπτέρων (παρ. 2  Α,Β,Γ  της 463/2017 απόφασης του Δ.Σ.) και οι τιμές για το έτος 2022 να διαμορφωθούν  στο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1,00€ ανά </w:t>
      </w:r>
      <w:proofErr w:type="spellStart"/>
      <w:r w:rsidRPr="004D6585">
        <w:rPr>
          <w:rFonts w:ascii="Arial" w:hAnsi="Arial" w:cs="Arial"/>
          <w:b/>
          <w:sz w:val="22"/>
          <w:szCs w:val="22"/>
          <w:u w:val="single"/>
        </w:rPr>
        <w:t>τ.μ</w:t>
      </w:r>
      <w:proofErr w:type="spellEnd"/>
      <w:r w:rsidRPr="004D6585">
        <w:rPr>
          <w:rFonts w:ascii="Arial" w:hAnsi="Arial" w:cs="Arial"/>
          <w:b/>
          <w:sz w:val="22"/>
          <w:szCs w:val="22"/>
          <w:u w:val="single"/>
        </w:rPr>
        <w:t>. ετησίως</w:t>
      </w:r>
      <w:r w:rsidRPr="004D6585">
        <w:rPr>
          <w:rFonts w:ascii="Arial" w:hAnsi="Arial" w:cs="Arial"/>
          <w:sz w:val="22"/>
          <w:szCs w:val="22"/>
        </w:rPr>
        <w:t>, ανεξαρτήτως  του χρόνου που θα παραμείνουν κλειστές οι επιχειρήσεις εντός του έτους και οι τιμές για το οικονομικό έτος  2022  διαμορφώνεται  ως ακολούθως: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  <w:u w:val="single"/>
        </w:rPr>
        <w:t>1.ΤΕΛΟΣ ΧΡΗΣΗΣ ΚΟΙΝΟΧΡΗΣΤΟΥ ΧΩΡΟΥ ΓΙΑ ΤΡΑΠΕΖΟΚΑΘΙΣΜΑΤΑ</w:t>
      </w:r>
      <w:r w:rsidRPr="00520A94">
        <w:rPr>
          <w:rFonts w:ascii="Arial" w:hAnsi="Arial" w:cs="Arial"/>
          <w:b/>
          <w:bCs/>
          <w:sz w:val="22"/>
          <w:szCs w:val="22"/>
        </w:rPr>
        <w:t>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Α’ ΖΩΝΗ : 1,00 ευρώ ανά τ. μ. ετησίως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Β’ ΖΩΝΗ :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520A94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, ορίζεται :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Γ)</w:t>
      </w:r>
      <w:r w:rsidRPr="00520A94">
        <w:rPr>
          <w:rFonts w:ascii="Arial" w:hAnsi="Arial" w:cs="Arial"/>
          <w:sz w:val="22"/>
          <w:szCs w:val="22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520A94">
        <w:rPr>
          <w:rFonts w:ascii="Arial" w:hAnsi="Arial" w:cs="Arial"/>
          <w:sz w:val="22"/>
          <w:szCs w:val="22"/>
        </w:rPr>
        <w:t>Λαφυστίου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Ρωμαϊικου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520A94">
        <w:rPr>
          <w:rFonts w:ascii="Arial" w:hAnsi="Arial" w:cs="Arial"/>
          <w:sz w:val="22"/>
          <w:szCs w:val="22"/>
        </w:rPr>
        <w:t>Προσηλίου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Θουρίου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520A94">
        <w:rPr>
          <w:rFonts w:ascii="Arial" w:hAnsi="Arial" w:cs="Arial"/>
          <w:sz w:val="22"/>
          <w:szCs w:val="22"/>
        </w:rPr>
        <w:t>Ανθοχωρίου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520A94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Παρορίου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520A94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520A94">
        <w:rPr>
          <w:rFonts w:ascii="Arial" w:hAnsi="Arial" w:cs="Arial"/>
          <w:sz w:val="22"/>
          <w:szCs w:val="22"/>
        </w:rPr>
        <w:t>Κορωνείας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) :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520A94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520A94">
        <w:rPr>
          <w:rFonts w:ascii="Arial" w:hAnsi="Arial" w:cs="Arial"/>
          <w:sz w:val="22"/>
          <w:szCs w:val="22"/>
        </w:rPr>
        <w:t>, ορίζεται: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sz w:val="22"/>
          <w:szCs w:val="22"/>
          <w:u w:val="single"/>
        </w:rPr>
      </w:pPr>
      <w:r w:rsidRPr="00520A94">
        <w:rPr>
          <w:rFonts w:ascii="Arial" w:hAnsi="Arial" w:cs="Arial"/>
          <w:b/>
          <w:bCs/>
          <w:sz w:val="22"/>
          <w:szCs w:val="22"/>
          <w:u w:val="single"/>
        </w:rPr>
        <w:t xml:space="preserve"> 2.</w:t>
      </w:r>
      <w:r w:rsidRPr="00520A94">
        <w:rPr>
          <w:rFonts w:ascii="Arial" w:hAnsi="Arial" w:cs="Arial"/>
          <w:sz w:val="22"/>
          <w:szCs w:val="22"/>
          <w:u w:val="single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  <w:u w:val="single"/>
        </w:rPr>
        <w:t>ΤΕΛΟΣ ΧΡΗΣΗΣ ΚΟΙΝΟΧΡΗΣΤΟΥ ΧΩΡΟΥ ΓΙΑ ΠΕΡΙΠΤΕΡΑ: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Α’ ΖΩΝΗ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Β’ ΖΩΝΗ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: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που αφορά τα περίπτερα, ορίζεται :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Γ)</w:t>
      </w:r>
      <w:r w:rsidRPr="00520A94">
        <w:rPr>
          <w:rFonts w:ascii="Arial" w:hAnsi="Arial" w:cs="Arial"/>
          <w:sz w:val="22"/>
          <w:szCs w:val="22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520A94">
        <w:rPr>
          <w:rFonts w:ascii="Arial" w:hAnsi="Arial" w:cs="Arial"/>
          <w:sz w:val="22"/>
          <w:szCs w:val="22"/>
        </w:rPr>
        <w:t>Λαφυστίου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Ρωμαϊικου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520A94">
        <w:rPr>
          <w:rFonts w:ascii="Arial" w:hAnsi="Arial" w:cs="Arial"/>
          <w:sz w:val="22"/>
          <w:szCs w:val="22"/>
        </w:rPr>
        <w:t>Προσηλίου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Θουρίου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520A94">
        <w:rPr>
          <w:rFonts w:ascii="Arial" w:hAnsi="Arial" w:cs="Arial"/>
          <w:sz w:val="22"/>
          <w:szCs w:val="22"/>
        </w:rPr>
        <w:t>Ανθοχωρίου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520A94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Παρορίου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520A94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520A94">
        <w:rPr>
          <w:rFonts w:ascii="Arial" w:hAnsi="Arial" w:cs="Arial"/>
          <w:sz w:val="22"/>
          <w:szCs w:val="22"/>
        </w:rPr>
        <w:t>Κορωνείας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): </w:t>
      </w:r>
    </w:p>
    <w:p w:rsidR="007520F6" w:rsidRPr="00520A94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το τέλος χρήσης κοινόχρηστου χώρου, που αφορά τα περίπτερα, ορίζεται :</w:t>
      </w:r>
    </w:p>
    <w:p w:rsidR="007520F6" w:rsidRDefault="007520F6" w:rsidP="007520F6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lastRenderedPageBreak/>
        <w:t xml:space="preserve">1,00 € ανά   τ. μ. ετησίως </w:t>
      </w:r>
    </w:p>
    <w:p w:rsidR="00A94FDE" w:rsidRPr="00520A94" w:rsidRDefault="00A94FDE" w:rsidP="007520F6">
      <w:pPr>
        <w:rPr>
          <w:rFonts w:ascii="Arial" w:hAnsi="Arial" w:cs="Arial"/>
          <w:sz w:val="22"/>
          <w:szCs w:val="22"/>
        </w:rPr>
      </w:pPr>
    </w:p>
    <w:p w:rsidR="007520F6" w:rsidRDefault="007520F6" w:rsidP="007520F6">
      <w:pPr>
        <w:tabs>
          <w:tab w:val="center" w:pos="8460"/>
        </w:tabs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 w:rsidRPr="004D6585">
        <w:rPr>
          <w:rFonts w:ascii="Arial" w:eastAsia="Arial" w:hAnsi="Arial" w:cs="Arial"/>
          <w:color w:val="000000"/>
          <w:sz w:val="22"/>
          <w:szCs w:val="22"/>
          <w:lang w:eastAsia="el-GR"/>
        </w:rPr>
        <w:t>Κατόπιν ο Πρόεδρος κάλεσε τα μέλη του Δημοτικού Συμβουλίου να τοποθετηθούν σχετικά.</w:t>
      </w:r>
    </w:p>
    <w:p w:rsidR="004D6585" w:rsidRPr="004D6585" w:rsidRDefault="004D6585" w:rsidP="007520F6">
      <w:pPr>
        <w:tabs>
          <w:tab w:val="center" w:pos="8460"/>
        </w:tabs>
        <w:jc w:val="both"/>
      </w:pPr>
    </w:p>
    <w:p w:rsidR="007520F6" w:rsidRPr="004D6585" w:rsidRDefault="004D6585" w:rsidP="00752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sz w:val="22"/>
          <w:szCs w:val="22"/>
        </w:rPr>
        <w:t xml:space="preserve">Τόσο </w:t>
      </w:r>
      <w:r>
        <w:rPr>
          <w:rFonts w:ascii="Arial" w:hAnsi="Arial" w:cs="Arial"/>
          <w:sz w:val="22"/>
          <w:szCs w:val="22"/>
        </w:rPr>
        <w:t xml:space="preserve">η κα </w:t>
      </w:r>
      <w:proofErr w:type="spellStart"/>
      <w:r>
        <w:rPr>
          <w:rFonts w:ascii="Arial" w:hAnsi="Arial" w:cs="Arial"/>
          <w:sz w:val="22"/>
          <w:szCs w:val="22"/>
        </w:rPr>
        <w:t>Πούλου</w:t>
      </w:r>
      <w:proofErr w:type="spellEnd"/>
      <w:r>
        <w:rPr>
          <w:rFonts w:ascii="Arial" w:hAnsi="Arial" w:cs="Arial"/>
          <w:sz w:val="22"/>
          <w:szCs w:val="22"/>
        </w:rPr>
        <w:t xml:space="preserve"> όσο και ο κ. </w:t>
      </w:r>
      <w:proofErr w:type="spellStart"/>
      <w:r>
        <w:rPr>
          <w:rFonts w:ascii="Arial" w:hAnsi="Arial" w:cs="Arial"/>
          <w:sz w:val="22"/>
          <w:szCs w:val="22"/>
        </w:rPr>
        <w:t>Κοτσικώνας</w:t>
      </w:r>
      <w:proofErr w:type="spellEnd"/>
      <w:r>
        <w:rPr>
          <w:rFonts w:ascii="Arial" w:hAnsi="Arial" w:cs="Arial"/>
          <w:sz w:val="22"/>
          <w:szCs w:val="22"/>
        </w:rPr>
        <w:t xml:space="preserve"> δήλωσαν ότι είναι θετικοί στην εισήγηση της Οικονομικής Επιτροπής </w:t>
      </w:r>
      <w:r w:rsidR="00A94FDE">
        <w:rPr>
          <w:rFonts w:ascii="Arial" w:hAnsi="Arial" w:cs="Arial"/>
          <w:sz w:val="22"/>
          <w:szCs w:val="22"/>
        </w:rPr>
        <w:t xml:space="preserve">διότι είναι απαραίτητη η στήριξη των </w:t>
      </w:r>
      <w:proofErr w:type="spellStart"/>
      <w:r w:rsidR="00A94FDE">
        <w:rPr>
          <w:rFonts w:ascii="Arial" w:hAnsi="Arial" w:cs="Arial"/>
          <w:sz w:val="22"/>
          <w:szCs w:val="22"/>
        </w:rPr>
        <w:t>καταστημαρχών</w:t>
      </w:r>
      <w:proofErr w:type="spellEnd"/>
      <w:r w:rsidR="00A94FDE">
        <w:rPr>
          <w:rFonts w:ascii="Arial" w:hAnsi="Arial" w:cs="Arial"/>
          <w:sz w:val="22"/>
          <w:szCs w:val="22"/>
        </w:rPr>
        <w:t xml:space="preserve"> της πόλης λόγω της συνεχιζόμενης πανδημίας.</w:t>
      </w:r>
    </w:p>
    <w:p w:rsidR="00370B2B" w:rsidRPr="00370B2B" w:rsidRDefault="004D6585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i/>
          <w:iCs/>
          <w:sz w:val="22"/>
          <w:szCs w:val="22"/>
          <w:lang w:eastAsia="en-US"/>
        </w:rPr>
        <w:t xml:space="preserve"> </w:t>
      </w:r>
      <w:r w:rsidR="00370B2B"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E67823" w:rsidRP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 του άρθρου 13 του Β.Δ 24-9/20-10-1958, όπως τροποποιήθηκε από το άρθρο 3 του Ν.1080/80</w:t>
      </w:r>
    </w:p>
    <w:p w:rsid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την παρ. 3 του άρθρου 16 του Ν. 3254/04</w:t>
      </w:r>
    </w:p>
    <w:p w:rsidR="00E67823" w:rsidRPr="00203ACD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hAnsi="Arial" w:cs="Arial"/>
          <w:sz w:val="22"/>
          <w:szCs w:val="22"/>
        </w:rPr>
        <w:t xml:space="preserve">  </w:t>
      </w: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την παρ. 1 του άρθρου 50 του Ν. 4257/14</w:t>
      </w:r>
    </w:p>
    <w:p w:rsidR="00203ACD" w:rsidRPr="00E67823" w:rsidRDefault="00203ACD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 του άρθρου</w:t>
      </w:r>
      <w:r>
        <w:rPr>
          <w:rFonts w:ascii="Arial" w:eastAsia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1 παρ.στ.2 του Ν.4093/2012</w:t>
      </w:r>
    </w:p>
    <w:p w:rsidR="00E67823" w:rsidRPr="00BF3B25" w:rsidRDefault="00E67823" w:rsidP="00E67823">
      <w:pPr>
        <w:pStyle w:val="28"/>
        <w:widowControl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F3B25">
        <w:rPr>
          <w:rFonts w:ascii="Arial" w:hAnsi="Arial" w:cs="Arial"/>
          <w:sz w:val="22"/>
          <w:szCs w:val="22"/>
        </w:rPr>
        <w:t>463/2017 (ΑΔΑ:Ω2ΑΞΩΛΗ-ΒΕΙ)</w:t>
      </w:r>
      <w:r>
        <w:rPr>
          <w:rFonts w:ascii="Arial" w:hAnsi="Arial" w:cs="Arial"/>
          <w:sz w:val="22"/>
          <w:szCs w:val="22"/>
        </w:rPr>
        <w:t xml:space="preserve"> , 565/2018 </w:t>
      </w:r>
      <w:r w:rsidR="00EE2D7A" w:rsidRPr="00BF3B25">
        <w:rPr>
          <w:rFonts w:ascii="Arial" w:hAnsi="Arial" w:cs="Arial"/>
          <w:sz w:val="22"/>
          <w:szCs w:val="22"/>
        </w:rPr>
        <w:t>(ΑΔΑ:</w:t>
      </w:r>
      <w:r w:rsidR="00EE2D7A">
        <w:rPr>
          <w:rFonts w:ascii="Arial" w:hAnsi="Arial" w:cs="Arial"/>
          <w:sz w:val="22"/>
          <w:szCs w:val="22"/>
        </w:rPr>
        <w:t>Ω4ΧΛ</w:t>
      </w:r>
      <w:r w:rsidR="00EE2D7A" w:rsidRPr="00BF3B25">
        <w:rPr>
          <w:rFonts w:ascii="Arial" w:hAnsi="Arial" w:cs="Arial"/>
          <w:sz w:val="22"/>
          <w:szCs w:val="22"/>
        </w:rPr>
        <w:t>ΩΛΗ-</w:t>
      </w:r>
      <w:r w:rsidR="00EE2D7A">
        <w:rPr>
          <w:rFonts w:ascii="Arial" w:hAnsi="Arial" w:cs="Arial"/>
          <w:sz w:val="22"/>
          <w:szCs w:val="22"/>
        </w:rPr>
        <w:t>ΣΔΧ</w:t>
      </w:r>
      <w:r w:rsidR="00EE2D7A" w:rsidRPr="00BF3B25">
        <w:rPr>
          <w:rFonts w:ascii="Arial" w:hAnsi="Arial" w:cs="Arial"/>
          <w:sz w:val="22"/>
          <w:szCs w:val="22"/>
        </w:rPr>
        <w:t>)</w:t>
      </w:r>
      <w:r w:rsidR="00EE2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 16/2021</w:t>
      </w:r>
      <w:r w:rsidR="00EE2D7A">
        <w:rPr>
          <w:rFonts w:ascii="Arial" w:hAnsi="Arial" w:cs="Arial"/>
          <w:sz w:val="22"/>
          <w:szCs w:val="22"/>
        </w:rPr>
        <w:t xml:space="preserve"> </w:t>
      </w:r>
      <w:r w:rsidR="00EE2D7A" w:rsidRPr="00BF3B25">
        <w:rPr>
          <w:rFonts w:ascii="Arial" w:hAnsi="Arial" w:cs="Arial"/>
          <w:sz w:val="22"/>
          <w:szCs w:val="22"/>
        </w:rPr>
        <w:t>(ΑΔΑ:</w:t>
      </w:r>
      <w:r w:rsidR="00EE2D7A">
        <w:rPr>
          <w:rFonts w:ascii="Arial" w:hAnsi="Arial" w:cs="Arial"/>
          <w:sz w:val="22"/>
          <w:szCs w:val="22"/>
        </w:rPr>
        <w:t>6ΛΗ0ΩΛΗ-96Λ</w:t>
      </w:r>
      <w:r w:rsidR="00EE2D7A" w:rsidRPr="00BF3B25">
        <w:rPr>
          <w:rFonts w:ascii="Arial" w:hAnsi="Arial" w:cs="Arial"/>
          <w:sz w:val="22"/>
          <w:szCs w:val="22"/>
        </w:rPr>
        <w:t>)</w:t>
      </w:r>
      <w:r w:rsidR="00EE2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F3B25">
        <w:rPr>
          <w:rFonts w:ascii="Arial" w:hAnsi="Arial" w:cs="Arial"/>
          <w:sz w:val="22"/>
          <w:szCs w:val="22"/>
        </w:rPr>
        <w:t>Απ</w:t>
      </w:r>
      <w:r>
        <w:rPr>
          <w:rFonts w:ascii="Arial" w:hAnsi="Arial" w:cs="Arial"/>
          <w:sz w:val="22"/>
          <w:szCs w:val="22"/>
        </w:rPr>
        <w:t>οφάσεις</w:t>
      </w:r>
      <w:r w:rsidRPr="00BF3B25">
        <w:rPr>
          <w:rFonts w:ascii="Arial" w:hAnsi="Arial" w:cs="Arial"/>
          <w:sz w:val="22"/>
          <w:szCs w:val="22"/>
        </w:rPr>
        <w:t xml:space="preserve"> του Δημοτικού Συμβουλίου</w:t>
      </w:r>
    </w:p>
    <w:p w:rsid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hAnsi="Arial" w:cs="Arial"/>
          <w:sz w:val="22"/>
          <w:szCs w:val="22"/>
        </w:rPr>
        <w:t xml:space="preserve">την  υπ’ αριθ. </w:t>
      </w:r>
      <w:r w:rsidR="00EE2D7A">
        <w:rPr>
          <w:rFonts w:ascii="Arial" w:hAnsi="Arial" w:cs="Arial"/>
          <w:sz w:val="22"/>
          <w:szCs w:val="22"/>
        </w:rPr>
        <w:t xml:space="preserve">324/2021 (68Ξ7ΩΛΗ-6Μ4) </w:t>
      </w:r>
      <w:r w:rsidRPr="00E67823">
        <w:rPr>
          <w:rFonts w:ascii="Arial" w:hAnsi="Arial" w:cs="Arial"/>
          <w:sz w:val="22"/>
          <w:szCs w:val="22"/>
        </w:rPr>
        <w:t>απόφαση της Οικονομικής Επιτροπής με την οποία εισηγείται την επιβολή των τελών προς το δημοτικό συμβούλιο  και μετά διαλογική συζήτηση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370B2B" w:rsidRPr="00A94FDE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EE2D7A" w:rsidRDefault="00240C79" w:rsidP="00A004A0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Ι)</w:t>
      </w:r>
      <w:r w:rsidR="00A004A0" w:rsidRPr="00AA2656"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A004A0" w:rsidRPr="00AA2656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Τροποποιεί</w:t>
      </w:r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εν μέρει την υπ </w:t>
      </w:r>
      <w:proofErr w:type="spellStart"/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 463/2017 (ΑΔΑ: Ω2ΑΞΩΛΞ-ΒΕΙ)</w:t>
      </w:r>
      <w:r w:rsidR="00A004A0">
        <w:rPr>
          <w:rStyle w:val="aa"/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A004A0" w:rsidRPr="00AA2656">
        <w:rPr>
          <w:rStyle w:val="aa"/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απόφαση του Δημοτικού Συμβουλίου </w:t>
      </w:r>
      <w:r w:rsidR="00A004A0">
        <w:rPr>
          <w:rFonts w:ascii="Arial" w:hAnsi="Arial" w:cs="Arial"/>
          <w:sz w:val="22"/>
          <w:szCs w:val="22"/>
        </w:rPr>
        <w:t xml:space="preserve">,όπως αυτή τροποποιήθηκε με τις 565/2018 </w:t>
      </w:r>
      <w:r w:rsidR="00A004A0" w:rsidRPr="00BF3B25">
        <w:rPr>
          <w:rFonts w:ascii="Arial" w:hAnsi="Arial" w:cs="Arial"/>
          <w:sz w:val="22"/>
          <w:szCs w:val="22"/>
        </w:rPr>
        <w:t>(ΑΔΑ:</w:t>
      </w:r>
      <w:r w:rsidR="00A004A0">
        <w:rPr>
          <w:rFonts w:ascii="Arial" w:hAnsi="Arial" w:cs="Arial"/>
          <w:sz w:val="22"/>
          <w:szCs w:val="22"/>
        </w:rPr>
        <w:t>Ω4ΧΛ</w:t>
      </w:r>
      <w:r w:rsidR="00A004A0" w:rsidRPr="00BF3B25">
        <w:rPr>
          <w:rFonts w:ascii="Arial" w:hAnsi="Arial" w:cs="Arial"/>
          <w:sz w:val="22"/>
          <w:szCs w:val="22"/>
        </w:rPr>
        <w:t>ΩΛΗ-</w:t>
      </w:r>
      <w:r w:rsidR="00A004A0">
        <w:rPr>
          <w:rFonts w:ascii="Arial" w:hAnsi="Arial" w:cs="Arial"/>
          <w:sz w:val="22"/>
          <w:szCs w:val="22"/>
        </w:rPr>
        <w:t>ΣΔΧ</w:t>
      </w:r>
      <w:r w:rsidR="00A004A0" w:rsidRPr="00BF3B25">
        <w:rPr>
          <w:rFonts w:ascii="Arial" w:hAnsi="Arial" w:cs="Arial"/>
          <w:sz w:val="22"/>
          <w:szCs w:val="22"/>
        </w:rPr>
        <w:t>)</w:t>
      </w:r>
      <w:r w:rsidR="00A004A0">
        <w:rPr>
          <w:rFonts w:ascii="Arial" w:hAnsi="Arial" w:cs="Arial"/>
          <w:sz w:val="22"/>
          <w:szCs w:val="22"/>
        </w:rPr>
        <w:t xml:space="preserve"> και 16/2021 </w:t>
      </w:r>
      <w:r w:rsidR="00A004A0" w:rsidRPr="00BF3B25">
        <w:rPr>
          <w:rFonts w:ascii="Arial" w:hAnsi="Arial" w:cs="Arial"/>
          <w:sz w:val="22"/>
          <w:szCs w:val="22"/>
        </w:rPr>
        <w:t>(ΑΔΑ:</w:t>
      </w:r>
      <w:r w:rsidR="00A004A0">
        <w:rPr>
          <w:rFonts w:ascii="Arial" w:hAnsi="Arial" w:cs="Arial"/>
          <w:sz w:val="22"/>
          <w:szCs w:val="22"/>
        </w:rPr>
        <w:t>6ΛΗ0ΩΛΗ-96Λ</w:t>
      </w:r>
      <w:r w:rsidR="00A004A0" w:rsidRPr="00BF3B25">
        <w:rPr>
          <w:rFonts w:ascii="Arial" w:hAnsi="Arial" w:cs="Arial"/>
          <w:sz w:val="22"/>
          <w:szCs w:val="22"/>
        </w:rPr>
        <w:t>)</w:t>
      </w:r>
      <w:r w:rsidR="00A004A0">
        <w:rPr>
          <w:rFonts w:ascii="Arial" w:hAnsi="Arial" w:cs="Arial"/>
          <w:sz w:val="22"/>
          <w:szCs w:val="22"/>
        </w:rPr>
        <w:t xml:space="preserve">  </w:t>
      </w:r>
      <w:r w:rsidR="00A004A0" w:rsidRPr="00BF3B25">
        <w:rPr>
          <w:rFonts w:ascii="Arial" w:hAnsi="Arial" w:cs="Arial"/>
          <w:sz w:val="22"/>
          <w:szCs w:val="22"/>
        </w:rPr>
        <w:t>Απ</w:t>
      </w:r>
      <w:r w:rsidR="00A004A0">
        <w:rPr>
          <w:rFonts w:ascii="Arial" w:hAnsi="Arial" w:cs="Arial"/>
          <w:sz w:val="22"/>
          <w:szCs w:val="22"/>
        </w:rPr>
        <w:t>οφάσεις</w:t>
      </w:r>
      <w:r w:rsidR="00A004A0" w:rsidRPr="00BF3B25">
        <w:rPr>
          <w:rFonts w:ascii="Arial" w:hAnsi="Arial" w:cs="Arial"/>
          <w:sz w:val="22"/>
          <w:szCs w:val="22"/>
        </w:rPr>
        <w:t xml:space="preserve"> του Δημοτικού Συμβουλίου</w:t>
      </w:r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και  συγκεκριμένα</w:t>
      </w:r>
      <w:r w:rsidR="00A004A0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</w:t>
      </w:r>
      <w:r w:rsidR="00A004A0">
        <w:rPr>
          <w:rFonts w:ascii="Arial" w:hAnsi="Arial" w:cs="Arial"/>
          <w:sz w:val="22"/>
          <w:szCs w:val="22"/>
        </w:rPr>
        <w:t>παρ.1 Α,Β,Γ (</w:t>
      </w:r>
      <w:r w:rsidR="00A004A0" w:rsidRPr="00DD2478">
        <w:rPr>
          <w:rFonts w:ascii="Arial" w:hAnsi="Arial" w:cs="Arial"/>
          <w:sz w:val="22"/>
          <w:szCs w:val="22"/>
        </w:rPr>
        <w:t>τ</w:t>
      </w:r>
      <w:r w:rsidR="00A004A0">
        <w:rPr>
          <w:rFonts w:ascii="Arial" w:hAnsi="Arial" w:cs="Arial"/>
          <w:sz w:val="22"/>
          <w:szCs w:val="22"/>
        </w:rPr>
        <w:t>έλος</w:t>
      </w:r>
      <w:r w:rsidR="00A004A0" w:rsidRPr="00DD2478">
        <w:rPr>
          <w:rFonts w:ascii="Arial" w:hAnsi="Arial" w:cs="Arial"/>
          <w:sz w:val="22"/>
          <w:szCs w:val="22"/>
        </w:rPr>
        <w:t xml:space="preserve"> χρήσης κοινόχρηστων χώρων </w:t>
      </w:r>
      <w:r w:rsidR="00A004A0">
        <w:rPr>
          <w:rFonts w:ascii="Arial" w:hAnsi="Arial" w:cs="Arial"/>
          <w:sz w:val="22"/>
          <w:szCs w:val="22"/>
        </w:rPr>
        <w:t xml:space="preserve"> για τα</w:t>
      </w:r>
      <w:r w:rsidR="00A004A0" w:rsidRPr="00DD24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4A0" w:rsidRPr="00DD2478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="00A004A0">
        <w:rPr>
          <w:rFonts w:ascii="Arial" w:hAnsi="Arial" w:cs="Arial"/>
          <w:sz w:val="22"/>
          <w:szCs w:val="22"/>
        </w:rPr>
        <w:t xml:space="preserve">) και την παρ. 2  Α,Β,Γ  (τέλος χρήσης κοινόχρηστου χώρου για περίπτερα)  την  διατήρηση </w:t>
      </w:r>
      <w:r w:rsidR="00EE2D7A" w:rsidRPr="0018430D">
        <w:rPr>
          <w:rFonts w:ascii="Arial" w:hAnsi="Arial" w:cs="Arial"/>
          <w:sz w:val="22"/>
          <w:szCs w:val="22"/>
        </w:rPr>
        <w:t xml:space="preserve"> και για το έτος 2022 τη</w:t>
      </w:r>
      <w:r w:rsidR="00A004A0">
        <w:rPr>
          <w:rFonts w:ascii="Arial" w:hAnsi="Arial" w:cs="Arial"/>
          <w:sz w:val="22"/>
          <w:szCs w:val="22"/>
        </w:rPr>
        <w:t>ς</w:t>
      </w:r>
      <w:r w:rsidR="00EE2D7A" w:rsidRPr="0018430D">
        <w:rPr>
          <w:rFonts w:ascii="Arial" w:hAnsi="Arial" w:cs="Arial"/>
          <w:sz w:val="22"/>
          <w:szCs w:val="22"/>
        </w:rPr>
        <w:t xml:space="preserve"> μείωση</w:t>
      </w:r>
      <w:r w:rsidR="00A004A0">
        <w:rPr>
          <w:rFonts w:ascii="Arial" w:hAnsi="Arial" w:cs="Arial"/>
          <w:sz w:val="22"/>
          <w:szCs w:val="22"/>
        </w:rPr>
        <w:t>ς</w:t>
      </w:r>
      <w:r w:rsidR="00EE2D7A" w:rsidRPr="0018430D">
        <w:rPr>
          <w:rFonts w:ascii="Arial" w:hAnsi="Arial" w:cs="Arial"/>
          <w:sz w:val="22"/>
          <w:szCs w:val="22"/>
        </w:rPr>
        <w:t xml:space="preserve">  των  τελών χρήσης κοινόχρηστων χώρων  τόσο για τα </w:t>
      </w:r>
      <w:proofErr w:type="spellStart"/>
      <w:r w:rsidR="00EE2D7A" w:rsidRPr="0018430D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="00EE2D7A" w:rsidRPr="0018430D">
        <w:rPr>
          <w:rFonts w:ascii="Arial" w:hAnsi="Arial" w:cs="Arial"/>
          <w:sz w:val="22"/>
          <w:szCs w:val="22"/>
        </w:rPr>
        <w:t xml:space="preserve"> των καταστημάτων υγειονομικού ενδιαφέροντος (</w:t>
      </w:r>
      <w:proofErr w:type="spellStart"/>
      <w:r w:rsidR="00EE2D7A" w:rsidRPr="0018430D">
        <w:rPr>
          <w:rFonts w:ascii="Arial" w:hAnsi="Arial" w:cs="Arial"/>
          <w:sz w:val="22"/>
          <w:szCs w:val="22"/>
        </w:rPr>
        <w:t>παρ.1</w:t>
      </w:r>
      <w:proofErr w:type="spellEnd"/>
      <w:r w:rsidR="00EE2D7A" w:rsidRPr="0018430D">
        <w:rPr>
          <w:rFonts w:ascii="Arial" w:hAnsi="Arial" w:cs="Arial"/>
          <w:sz w:val="22"/>
          <w:szCs w:val="22"/>
        </w:rPr>
        <w:t xml:space="preserve"> Α,Β,Γ της 463/2017 απόφασης του Δ.Σ.) όσο και των περιπτέρων (παρ. 2  Α,Β,Γ  της 463/2017 απόφασης του Δ.Σ.) </w:t>
      </w:r>
      <w:r w:rsidR="00A05DAB">
        <w:rPr>
          <w:rFonts w:ascii="Arial" w:hAnsi="Arial" w:cs="Arial"/>
          <w:sz w:val="22"/>
          <w:szCs w:val="22"/>
        </w:rPr>
        <w:t xml:space="preserve"> </w:t>
      </w:r>
      <w:r w:rsidR="00EE2D7A" w:rsidRPr="0018430D">
        <w:rPr>
          <w:rFonts w:ascii="Arial" w:hAnsi="Arial" w:cs="Arial"/>
          <w:sz w:val="22"/>
          <w:szCs w:val="22"/>
        </w:rPr>
        <w:t xml:space="preserve">, ανεξαρτήτως  του χρόνου που θα παραμείνουν κλειστές οι επιχειρήσεις εντός του έτους και </w:t>
      </w:r>
      <w:r w:rsidR="00203ACD">
        <w:rPr>
          <w:rFonts w:ascii="Arial" w:hAnsi="Arial" w:cs="Arial"/>
          <w:sz w:val="22"/>
          <w:szCs w:val="22"/>
        </w:rPr>
        <w:t xml:space="preserve">επιβάλει τέλη για το οικονομικό έτος  2022 </w:t>
      </w:r>
      <w:r w:rsidR="00EE2D7A" w:rsidRPr="0018430D">
        <w:rPr>
          <w:rFonts w:ascii="Arial" w:hAnsi="Arial" w:cs="Arial"/>
          <w:sz w:val="22"/>
          <w:szCs w:val="22"/>
        </w:rPr>
        <w:t xml:space="preserve">  ως κατωτέρω:</w:t>
      </w:r>
    </w:p>
    <w:p w:rsidR="00A94FDE" w:rsidRDefault="00A94FDE" w:rsidP="00A004A0">
      <w:pPr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A94FDE" w:rsidRPr="0018430D" w:rsidRDefault="00A94FDE" w:rsidP="00A004A0">
      <w:pPr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  <w:u w:val="single"/>
        </w:rPr>
        <w:t>1.ΤΕΛΟΣ ΧΡΗΣΗΣ ΚΟΙΝΟΧΡΗΣΤΟΥ ΧΩΡΟΥ ΓΙΑ ΤΡΑΠΕΖΟΚΑΘΙΣΜΑΤΑ</w:t>
      </w:r>
      <w:r w:rsidRPr="00520A94">
        <w:rPr>
          <w:rFonts w:ascii="Arial" w:hAnsi="Arial" w:cs="Arial"/>
          <w:b/>
          <w:bCs/>
          <w:sz w:val="22"/>
          <w:szCs w:val="22"/>
        </w:rPr>
        <w:t>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Α’ ΖΩΝΗ : 1,00 ευρώ ανά τ. μ. ετησίως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Β’ ΖΩΝΗ :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520A94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, ορίζεται :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Γ)</w:t>
      </w:r>
      <w:r w:rsidRPr="00520A94">
        <w:rPr>
          <w:rFonts w:ascii="Arial" w:hAnsi="Arial" w:cs="Arial"/>
          <w:sz w:val="22"/>
          <w:szCs w:val="22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520A94">
        <w:rPr>
          <w:rFonts w:ascii="Arial" w:hAnsi="Arial" w:cs="Arial"/>
          <w:sz w:val="22"/>
          <w:szCs w:val="22"/>
        </w:rPr>
        <w:t>Λαφυστίου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Ρωμαϊικου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520A94">
        <w:rPr>
          <w:rFonts w:ascii="Arial" w:hAnsi="Arial" w:cs="Arial"/>
          <w:sz w:val="22"/>
          <w:szCs w:val="22"/>
        </w:rPr>
        <w:t>Προσηλίου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Θουρίου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520A94">
        <w:rPr>
          <w:rFonts w:ascii="Arial" w:hAnsi="Arial" w:cs="Arial"/>
          <w:sz w:val="22"/>
          <w:szCs w:val="22"/>
        </w:rPr>
        <w:t>Ανθοχωρίου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520A94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Παρορίου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520A94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520A94">
        <w:rPr>
          <w:rFonts w:ascii="Arial" w:hAnsi="Arial" w:cs="Arial"/>
          <w:sz w:val="22"/>
          <w:szCs w:val="22"/>
        </w:rPr>
        <w:t>Κορωνείας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) :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520A94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520A94">
        <w:rPr>
          <w:rFonts w:ascii="Arial" w:hAnsi="Arial" w:cs="Arial"/>
          <w:sz w:val="22"/>
          <w:szCs w:val="22"/>
        </w:rPr>
        <w:t>, ορίζεται: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  <w:u w:val="single"/>
        </w:rPr>
      </w:pPr>
      <w:r w:rsidRPr="00520A94">
        <w:rPr>
          <w:rFonts w:ascii="Arial" w:hAnsi="Arial" w:cs="Arial"/>
          <w:b/>
          <w:bCs/>
          <w:sz w:val="22"/>
          <w:szCs w:val="22"/>
          <w:u w:val="single"/>
        </w:rPr>
        <w:t xml:space="preserve"> 2.</w:t>
      </w:r>
      <w:r w:rsidRPr="00520A94">
        <w:rPr>
          <w:rFonts w:ascii="Arial" w:hAnsi="Arial" w:cs="Arial"/>
          <w:sz w:val="22"/>
          <w:szCs w:val="22"/>
          <w:u w:val="single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  <w:u w:val="single"/>
        </w:rPr>
        <w:t>ΤΕΛΟΣ ΧΡΗΣΗΣ ΚΟΙΝΟΧΡΗΣΤΟΥ ΧΩΡΟΥ ΓΙΑ ΠΕΡΙΠΤΕΡΑ: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b/>
          <w:bCs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Α’ ΖΩΝΗ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Β’ ΖΩΝΗ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20A94">
        <w:rPr>
          <w:rFonts w:ascii="Arial" w:hAnsi="Arial" w:cs="Arial"/>
          <w:sz w:val="22"/>
          <w:szCs w:val="22"/>
        </w:rPr>
        <w:t>1,00 ευρώ ανά τ. μ. ετησίως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>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το τέλος χρήσης κοινόχρηστου χώρου, που αφορά τα περίπτερα, ορίζεται :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b/>
          <w:bCs/>
          <w:sz w:val="22"/>
          <w:szCs w:val="22"/>
        </w:rPr>
        <w:t>Γ)</w:t>
      </w:r>
      <w:r w:rsidRPr="00520A94">
        <w:rPr>
          <w:rFonts w:ascii="Arial" w:hAnsi="Arial" w:cs="Arial"/>
          <w:sz w:val="22"/>
          <w:szCs w:val="22"/>
        </w:rPr>
        <w:t xml:space="preserve"> </w:t>
      </w:r>
      <w:r w:rsidRPr="00520A94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520A94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52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A94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520A94">
        <w:rPr>
          <w:rFonts w:ascii="Arial" w:hAnsi="Arial" w:cs="Arial"/>
          <w:sz w:val="22"/>
          <w:szCs w:val="22"/>
        </w:rPr>
        <w:t>Λαφυστίου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Ρωμαϊικου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520A94">
        <w:rPr>
          <w:rFonts w:ascii="Arial" w:hAnsi="Arial" w:cs="Arial"/>
          <w:sz w:val="22"/>
          <w:szCs w:val="22"/>
        </w:rPr>
        <w:t>Προσηλίου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Θουρίου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520A94">
        <w:rPr>
          <w:rFonts w:ascii="Arial" w:hAnsi="Arial" w:cs="Arial"/>
          <w:sz w:val="22"/>
          <w:szCs w:val="22"/>
        </w:rPr>
        <w:t>Ανθοχωρίου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520A94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520A94">
        <w:rPr>
          <w:rFonts w:ascii="Arial" w:hAnsi="Arial" w:cs="Arial"/>
          <w:sz w:val="22"/>
          <w:szCs w:val="22"/>
        </w:rPr>
        <w:t>Παρορίου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520A94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520A94">
        <w:rPr>
          <w:rFonts w:ascii="Arial" w:hAnsi="Arial" w:cs="Arial"/>
          <w:sz w:val="22"/>
          <w:szCs w:val="22"/>
        </w:rPr>
        <w:t>Κορωνείας</w:t>
      </w:r>
      <w:proofErr w:type="spellEnd"/>
      <w:r w:rsidRPr="00520A94">
        <w:rPr>
          <w:rFonts w:ascii="Arial" w:hAnsi="Arial" w:cs="Arial"/>
          <w:sz w:val="22"/>
          <w:szCs w:val="22"/>
        </w:rPr>
        <w:t xml:space="preserve"> ):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>το τέλος χρήσης κοινόχρηστου χώρου, που αφορά τα περίπτερα, ορίζεται :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EE2D7A" w:rsidRPr="00520A94" w:rsidRDefault="00EE2D7A" w:rsidP="00EE2D7A">
      <w:pPr>
        <w:rPr>
          <w:rFonts w:ascii="Arial" w:hAnsi="Arial" w:cs="Arial"/>
          <w:sz w:val="22"/>
          <w:szCs w:val="22"/>
        </w:rPr>
      </w:pPr>
    </w:p>
    <w:p w:rsidR="00EE2D7A" w:rsidRPr="00520A94" w:rsidRDefault="00EE2D7A" w:rsidP="00EE2D7A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520A94">
        <w:rPr>
          <w:rFonts w:ascii="Arial" w:hAnsi="Arial" w:cs="Arial"/>
          <w:sz w:val="22"/>
          <w:szCs w:val="22"/>
        </w:rPr>
        <w:t xml:space="preserve">Κατά τα λοιπά ισχύει η 463/2017 </w:t>
      </w:r>
      <w:r>
        <w:rPr>
          <w:rFonts w:ascii="Arial" w:hAnsi="Arial" w:cs="Arial"/>
          <w:sz w:val="22"/>
          <w:szCs w:val="22"/>
        </w:rPr>
        <w:t xml:space="preserve"> όπως έχει τροποποιηθεί και ισχύει  με τις 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565/2018 και 16/2021 </w:t>
      </w:r>
      <w:r w:rsidRPr="00520A94">
        <w:rPr>
          <w:rFonts w:ascii="Arial" w:hAnsi="Arial" w:cs="Arial"/>
          <w:sz w:val="22"/>
          <w:szCs w:val="22"/>
        </w:rPr>
        <w:t>απ</w:t>
      </w:r>
      <w:r>
        <w:rPr>
          <w:rFonts w:ascii="Arial" w:hAnsi="Arial" w:cs="Arial"/>
          <w:sz w:val="22"/>
          <w:szCs w:val="22"/>
        </w:rPr>
        <w:t>ο</w:t>
      </w:r>
      <w:r w:rsidRPr="00520A94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>άσεις</w:t>
      </w:r>
      <w:r w:rsidRPr="00520A94">
        <w:rPr>
          <w:rFonts w:ascii="Arial" w:hAnsi="Arial" w:cs="Arial"/>
          <w:sz w:val="22"/>
          <w:szCs w:val="22"/>
        </w:rPr>
        <w:t xml:space="preserve"> του Δημοτικού Συμβουλίου.</w:t>
      </w:r>
    </w:p>
    <w:p w:rsidR="00240C79" w:rsidRDefault="00240C79" w:rsidP="00240C79">
      <w:pPr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ΙΙ) 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Η απόφαση του Δημοτικού Συμβουλίου  να δημοσιευθεί κατά τις διατάξεις του άρθρου 66 του Β.Δ. 24/9-20/10/1958</w:t>
      </w:r>
    </w:p>
    <w:p w:rsidR="00240C79" w:rsidRPr="00475F93" w:rsidRDefault="00475F93" w:rsidP="00240C79">
      <w:pPr>
        <w:tabs>
          <w:tab w:val="center" w:pos="8460"/>
        </w:tabs>
        <w:spacing w:line="360" w:lineRule="auto"/>
        <w:jc w:val="both"/>
      </w:pPr>
      <w:r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>Ι</w:t>
      </w:r>
      <w:r w:rsidR="00240C79"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ΙΙ) </w:t>
      </w:r>
      <w:r w:rsidR="00240C79" w:rsidRPr="00475F93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Δ.Σ. εξουσιοδοτεί τον Δήμαρχο να υποβάλλει στον Συντονιστή της Αποκεντρωμένης Διοίκησης Θεσσαλίας – Στερεάς Ελλάδας επικυρωμένο αντίγραφο της απόφασης αυτής. </w:t>
      </w:r>
    </w:p>
    <w:p w:rsidR="002F232A" w:rsidRPr="00AA38DB" w:rsidRDefault="002F232A" w:rsidP="00EE2D7A">
      <w:pPr>
        <w:widowControl w:val="0"/>
        <w:tabs>
          <w:tab w:val="center" w:pos="8460"/>
        </w:tabs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C235F" w:rsidRPr="00A94FDE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A94FDE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A94FDE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A94FDE">
        <w:rPr>
          <w:rFonts w:ascii="Arial" w:hAnsi="Arial" w:cs="Arial"/>
          <w:b/>
          <w:sz w:val="22"/>
          <w:szCs w:val="22"/>
        </w:rPr>
        <w:t>1</w:t>
      </w:r>
      <w:r w:rsidR="003D4E72" w:rsidRPr="00A94FDE">
        <w:rPr>
          <w:rFonts w:ascii="Arial" w:hAnsi="Arial" w:cs="Arial"/>
          <w:b/>
          <w:sz w:val="22"/>
          <w:szCs w:val="22"/>
        </w:rPr>
        <w:t>1</w:t>
      </w:r>
      <w:r w:rsidR="00EE2D7A" w:rsidRPr="00A94FDE">
        <w:rPr>
          <w:rFonts w:ascii="Arial" w:hAnsi="Arial" w:cs="Arial"/>
          <w:b/>
          <w:sz w:val="22"/>
          <w:szCs w:val="22"/>
        </w:rPr>
        <w:t>8</w:t>
      </w:r>
      <w:r w:rsidR="007042B4" w:rsidRPr="00A94FDE">
        <w:rPr>
          <w:rFonts w:ascii="Arial" w:hAnsi="Arial" w:cs="Arial"/>
          <w:b/>
          <w:sz w:val="22"/>
          <w:szCs w:val="22"/>
        </w:rPr>
        <w:t>/</w:t>
      </w:r>
      <w:r w:rsidRPr="00A94FDE">
        <w:rPr>
          <w:rFonts w:ascii="Arial" w:hAnsi="Arial" w:cs="Arial"/>
          <w:b/>
          <w:sz w:val="22"/>
          <w:szCs w:val="22"/>
        </w:rPr>
        <w:t>20</w:t>
      </w:r>
      <w:r w:rsidR="005B55CE" w:rsidRPr="00A94FDE">
        <w:rPr>
          <w:rFonts w:ascii="Arial" w:hAnsi="Arial" w:cs="Arial"/>
          <w:b/>
          <w:sz w:val="22"/>
          <w:szCs w:val="22"/>
        </w:rPr>
        <w:t>2</w:t>
      </w:r>
      <w:r w:rsidR="00AA38DB" w:rsidRPr="00A94FDE">
        <w:rPr>
          <w:rFonts w:ascii="Arial" w:hAnsi="Arial" w:cs="Arial"/>
          <w:b/>
          <w:sz w:val="22"/>
          <w:szCs w:val="22"/>
        </w:rPr>
        <w:t>1</w:t>
      </w:r>
      <w:r w:rsidR="00CC0DE3" w:rsidRPr="00A94FDE">
        <w:rPr>
          <w:rFonts w:ascii="Arial" w:hAnsi="Arial" w:cs="Arial"/>
          <w:b/>
          <w:sz w:val="22"/>
          <w:szCs w:val="22"/>
        </w:rPr>
        <w:t>.</w:t>
      </w:r>
    </w:p>
    <w:p w:rsidR="00EE2D7A" w:rsidRPr="00A94FDE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EE2D7A" w:rsidRPr="00A94FDE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2C570B" w:rsidRPr="00A94FDE" w:rsidRDefault="002C570B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A94FDE">
        <w:rPr>
          <w:rFonts w:ascii="Arial" w:hAnsi="Arial" w:cs="Arial"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A94FDE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B1421" w:rsidRPr="00A94FDE" w:rsidRDefault="004B1421" w:rsidP="004B142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A94FDE" w:rsidRPr="004D6585" w:rsidRDefault="00A94FDE" w:rsidP="00A94F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A94FDE" w:rsidRPr="004D6585" w:rsidRDefault="00A94FDE" w:rsidP="00A94F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B7F58" w:rsidRPr="002C570B" w:rsidRDefault="009B7F58" w:rsidP="003F2957">
      <w:pPr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foot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DC" w:rsidRDefault="007368DC">
      <w:r>
        <w:separator/>
      </w:r>
    </w:p>
  </w:endnote>
  <w:endnote w:type="continuationSeparator" w:id="0">
    <w:p w:rsidR="007368DC" w:rsidRDefault="0073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543518"/>
      <w:docPartObj>
        <w:docPartGallery w:val="Page Numbers (Bottom of Page)"/>
        <w:docPartUnique/>
      </w:docPartObj>
    </w:sdtPr>
    <w:sdtContent>
      <w:p w:rsidR="002C7DDB" w:rsidRDefault="00D2426D">
        <w:pPr>
          <w:pStyle w:val="af3"/>
        </w:pPr>
        <w:fldSimple w:instr=" PAGE   \* MERGEFORMAT ">
          <w:r w:rsidR="003C2112">
            <w:rPr>
              <w:noProof/>
            </w:rPr>
            <w:t>3</w:t>
          </w:r>
        </w:fldSimple>
        <w:r w:rsidR="002C7DDB">
          <w:t xml:space="preserve">      118 ΑΠΟΦΑΣΗ ΔΗΜΟΤΙΚΟΥ ΣΥΜΒΟΥΛΙΟΥ ΔΗΜΟΥ ΛΕΒΑΔΕΩΝ</w:t>
        </w:r>
      </w:p>
    </w:sdtContent>
  </w:sdt>
  <w:p w:rsidR="00475F93" w:rsidRDefault="00475F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DC" w:rsidRDefault="007368DC">
      <w:r>
        <w:separator/>
      </w:r>
    </w:p>
  </w:footnote>
  <w:footnote w:type="continuationSeparator" w:id="0">
    <w:p w:rsidR="007368DC" w:rsidRDefault="00736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3ACD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3EEE"/>
    <w:rsid w:val="002365ED"/>
    <w:rsid w:val="002378CE"/>
    <w:rsid w:val="00240C79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C7DD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112"/>
    <w:rsid w:val="003C235F"/>
    <w:rsid w:val="003C4A77"/>
    <w:rsid w:val="003D0A0B"/>
    <w:rsid w:val="003D4108"/>
    <w:rsid w:val="003D4E72"/>
    <w:rsid w:val="003D6A63"/>
    <w:rsid w:val="003E1559"/>
    <w:rsid w:val="003E3562"/>
    <w:rsid w:val="003F1A16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5F93"/>
    <w:rsid w:val="0047676E"/>
    <w:rsid w:val="004800E0"/>
    <w:rsid w:val="00483101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6585"/>
    <w:rsid w:val="004E07FE"/>
    <w:rsid w:val="004E31B4"/>
    <w:rsid w:val="004E4D03"/>
    <w:rsid w:val="004F2105"/>
    <w:rsid w:val="004F55A2"/>
    <w:rsid w:val="004F7369"/>
    <w:rsid w:val="00501B63"/>
    <w:rsid w:val="00503226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ABB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68DC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D755F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004A0"/>
    <w:rsid w:val="00A05DAB"/>
    <w:rsid w:val="00A12B30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94FDE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11E3B"/>
    <w:rsid w:val="00C1449D"/>
    <w:rsid w:val="00C14D61"/>
    <w:rsid w:val="00C16B68"/>
    <w:rsid w:val="00C17BFE"/>
    <w:rsid w:val="00C2227D"/>
    <w:rsid w:val="00C227D8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81165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426D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C0ADD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E74AB"/>
    <w:rsid w:val="00DF0C34"/>
    <w:rsid w:val="00DF26DC"/>
    <w:rsid w:val="00DF2DCF"/>
    <w:rsid w:val="00DF7BAB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474A"/>
    <w:rsid w:val="00ED583E"/>
    <w:rsid w:val="00ED6923"/>
    <w:rsid w:val="00EE009B"/>
    <w:rsid w:val="00EE2D7A"/>
    <w:rsid w:val="00EF0B85"/>
    <w:rsid w:val="00EF3352"/>
    <w:rsid w:val="00EF7AED"/>
    <w:rsid w:val="00F02FB8"/>
    <w:rsid w:val="00F062C8"/>
    <w:rsid w:val="00F111D1"/>
    <w:rsid w:val="00F11306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45CF-14DC-421C-9868-1838C583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1764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11269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10</cp:revision>
  <cp:lastPrinted>2021-12-09T07:04:00Z</cp:lastPrinted>
  <dcterms:created xsi:type="dcterms:W3CDTF">2021-12-06T08:10:00Z</dcterms:created>
  <dcterms:modified xsi:type="dcterms:W3CDTF">2021-12-09T12:53:00Z</dcterms:modified>
</cp:coreProperties>
</file>