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</w:t>
      </w:r>
      <w:r w:rsidR="002E4F37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10240</w:t>
      </w:r>
      <w:r w:rsidR="00197110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E4F37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7</w:t>
      </w:r>
      <w:r w:rsidR="0019711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197110">
        <w:rPr>
          <w:rFonts w:ascii="Arial" w:hAnsi="Arial" w:cs="Arial"/>
          <w:sz w:val="22"/>
          <w:szCs w:val="22"/>
        </w:rPr>
        <w:t>10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37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  <w:r w:rsidR="00A50A4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A50A4E" w:rsidRDefault="00776082" w:rsidP="00A50A4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r w:rsidR="00A50A4E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A50A4E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A50A4E" w:rsidRPr="00C90D2B">
        <w:rPr>
          <w:rFonts w:ascii="Arial" w:hAnsi="Arial" w:cs="Arial"/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A50A4E" w:rsidRPr="00C90D2B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A50A4E" w:rsidRPr="00C90D2B">
        <w:rPr>
          <w:rFonts w:ascii="Arial" w:hAnsi="Arial" w:cs="Arial"/>
          <w:b/>
          <w:sz w:val="22"/>
          <w:szCs w:val="22"/>
        </w:rPr>
        <w:t xml:space="preserve"> έτους 2021 </w:t>
      </w:r>
      <w:r w:rsidR="00A50A4E" w:rsidRPr="00C90D2B">
        <w:rPr>
          <w:rFonts w:ascii="Arial" w:hAnsi="Arial" w:cs="Arial"/>
          <w:b/>
          <w:bCs/>
          <w:spacing w:val="-4"/>
          <w:sz w:val="22"/>
          <w:szCs w:val="22"/>
        </w:rPr>
        <w:t>(</w:t>
      </w:r>
      <w:r w:rsidR="00A50A4E">
        <w:rPr>
          <w:rFonts w:ascii="Arial" w:hAnsi="Arial" w:cs="Arial"/>
          <w:b/>
          <w:bCs/>
          <w:spacing w:val="-4"/>
          <w:sz w:val="22"/>
          <w:szCs w:val="22"/>
        </w:rPr>
        <w:t>3</w:t>
      </w:r>
      <w:r w:rsidR="00A50A4E" w:rsidRPr="00C90D2B">
        <w:rPr>
          <w:rFonts w:ascii="Arial" w:hAnsi="Arial" w:cs="Arial"/>
          <w:b/>
          <w:bCs/>
          <w:spacing w:val="-4"/>
          <w:sz w:val="22"/>
          <w:szCs w:val="22"/>
        </w:rPr>
        <w:t>/2021 απόφαση Εκτελεστικής Επιτροπής)</w:t>
      </w:r>
    </w:p>
    <w:p w:rsidR="002D3E3D" w:rsidRPr="00B3748C" w:rsidRDefault="002D3E3D" w:rsidP="002D3E3D">
      <w:pPr>
        <w:spacing w:line="276" w:lineRule="auto"/>
        <w:ind w:right="283"/>
        <w:jc w:val="both"/>
        <w:rPr>
          <w:rFonts w:ascii="Arial" w:eastAsia="Cambria" w:hAnsi="Arial" w:cs="Arial"/>
          <w:b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</w:p>
    <w:p w:rsidR="009B2ECE" w:rsidRPr="00B3748C" w:rsidRDefault="009B2ECE" w:rsidP="00FE05C1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197110" w:rsidRPr="00197110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α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Ιουνίου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:3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9541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-5-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σε ορθή επανάληψη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A008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A05F6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Default="004E6F94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Default="004E6F94" w:rsidP="00A661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Default="00A00872" w:rsidP="00A00872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4E6F94" w:rsidRPr="00746227" w:rsidRDefault="00197110" w:rsidP="00A6613D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A00872" w:rsidRPr="00746227" w:rsidRDefault="00197110" w:rsidP="00A6613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197110" w:rsidRDefault="00197110" w:rsidP="0097015C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0276EE" w:rsidP="00A6613D">
            <w:pPr>
              <w:pStyle w:val="af"/>
              <w:snapToGrid w:val="0"/>
              <w:jc w:val="center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A00872" w:rsidRDefault="000276EE" w:rsidP="00A00872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276EE" w:rsidRDefault="000276EE" w:rsidP="000276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A00872" w:rsidRDefault="000276EE" w:rsidP="000276E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Pr="00763543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197110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="001971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1971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197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>(απών στο1</w:t>
            </w:r>
            <w:r w:rsidR="00197110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>-3</w:t>
            </w:r>
            <w:r w:rsidR="00197110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Pr="004D4A7E" w:rsidRDefault="00A00872" w:rsidP="00197110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4A7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4A7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  <w:lang w:val="en-US"/>
        </w:rPr>
      </w:pPr>
    </w:p>
    <w:p w:rsidR="00352185" w:rsidRPr="00352185" w:rsidRDefault="00352185" w:rsidP="009222C6">
      <w:pPr>
        <w:rPr>
          <w:rFonts w:ascii="Arial" w:hAnsi="Arial" w:cs="Arial"/>
          <w:sz w:val="22"/>
          <w:szCs w:val="22"/>
          <w:lang w:val="en-US"/>
        </w:rPr>
      </w:pPr>
    </w:p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50A4E" w:rsidRPr="002546AE" w:rsidRDefault="00B3748C" w:rsidP="00A50A4E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197110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</w:t>
      </w:r>
      <w:r w:rsidR="003877E0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197110"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BE359C"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="00A50A4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="00A50A4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A50A4E" w:rsidRPr="002546A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50A4E" w:rsidRPr="002546AE">
        <w:rPr>
          <w:rStyle w:val="ae"/>
          <w:rFonts w:eastAsia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A50A4E" w:rsidRPr="00A50A4E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9684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/</w:t>
      </w:r>
      <w:r w:rsidR="00A50A4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31-5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-2021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proofErr w:type="spellStart"/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A50A4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/2021 απόφαση της Εκτελεστικής Επιτροπής του Δήμου,   σύμφωνα με την οποία εισηγείται στο Δημοτικό Συμβούλιο την τροποποίηση του Τεχνικού Προγράμματος Εκτελεστέων Έργων του Δήμου </w:t>
      </w:r>
      <w:proofErr w:type="spellStart"/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Λεβαδέων</w:t>
      </w:r>
      <w:proofErr w:type="spellEnd"/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έτους 2021</w:t>
      </w:r>
      <w:r w:rsidR="00A50A4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την εγγραφή σε αυτό των παρακάτω νέων έργων</w:t>
      </w:r>
      <w:r w:rsidR="00A50A4E" w:rsidRPr="002546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:</w:t>
      </w:r>
    </w:p>
    <w:p w:rsidR="00A50A4E" w:rsidRPr="00A50A4E" w:rsidRDefault="00A50A4E" w:rsidP="00A50A4E">
      <w:pPr>
        <w:pStyle w:val="a8"/>
        <w:numPr>
          <w:ilvl w:val="0"/>
          <w:numId w:val="38"/>
        </w:numPr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>“</w:t>
      </w:r>
      <w:proofErr w:type="spellStart"/>
      <w:r w:rsidRPr="00A50A4E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A50A4E">
        <w:rPr>
          <w:rFonts w:ascii="Arial" w:hAnsi="Arial" w:cs="Arial"/>
          <w:sz w:val="22"/>
          <w:szCs w:val="22"/>
        </w:rPr>
        <w:t>Λεβαδέων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50A4E">
        <w:rPr>
          <w:rFonts w:ascii="Arial" w:hAnsi="Arial" w:cs="Arial"/>
          <w:sz w:val="22"/>
          <w:szCs w:val="22"/>
        </w:rPr>
        <w:t>προεκτιμώμενης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αμοιβής 576.061,15 € με πίστωση για το έτος 2021 ποσού 20.000,00 €.</w:t>
      </w:r>
    </w:p>
    <w:p w:rsidR="00A50A4E" w:rsidRPr="00A50A4E" w:rsidRDefault="00A50A4E" w:rsidP="00A5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>2. “</w:t>
      </w:r>
      <w:proofErr w:type="spellStart"/>
      <w:r w:rsidRPr="00A50A4E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μελέτης εφαρμογής, διαμόρφωση περιβάλλοντος χώρου Δημαρχείου, τροποποίηση μελέτης εφαρμογής υπόγειου χώρου στάθμευσης στην πλατεία Λάμπρου Κατσώνη και σύνταξη τευχών δημοπράτησης” </w:t>
      </w:r>
      <w:proofErr w:type="spellStart"/>
      <w:r w:rsidRPr="00A50A4E">
        <w:rPr>
          <w:rFonts w:ascii="Arial" w:hAnsi="Arial" w:cs="Arial"/>
          <w:sz w:val="22"/>
          <w:szCs w:val="22"/>
        </w:rPr>
        <w:t>προεκτιμώμενης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αμοιβής 409.966,85 € με πίστωση για το έτος 2021 ποσού 10.000,00 €.</w:t>
      </w:r>
    </w:p>
    <w:p w:rsidR="00A50A4E" w:rsidRPr="00A50A4E" w:rsidRDefault="00A50A4E" w:rsidP="00A5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>3. “Ανάδειξη ιστορικού χώρου Αγίας Παρασκευής και οδού πρόσβασης (</w:t>
      </w:r>
      <w:proofErr w:type="spellStart"/>
      <w:r w:rsidRPr="00A50A4E">
        <w:rPr>
          <w:rFonts w:ascii="Arial" w:hAnsi="Arial" w:cs="Arial"/>
          <w:sz w:val="22"/>
          <w:szCs w:val="22"/>
        </w:rPr>
        <w:t>Γιαννούτσου</w:t>
      </w:r>
      <w:proofErr w:type="spellEnd"/>
      <w:r w:rsidRPr="00A50A4E">
        <w:rPr>
          <w:rFonts w:ascii="Arial" w:hAnsi="Arial" w:cs="Arial"/>
          <w:sz w:val="22"/>
          <w:szCs w:val="22"/>
        </w:rPr>
        <w:t>)” προϋπολογισμού 1.196.650,00 € με πίστωση για το έτος 2021 ποσού 30.000,00 €.</w:t>
      </w:r>
    </w:p>
    <w:p w:rsidR="00A50A4E" w:rsidRPr="00A50A4E" w:rsidRDefault="00A50A4E" w:rsidP="00A5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A4E" w:rsidRPr="00A50A4E" w:rsidRDefault="00A50A4E" w:rsidP="00A5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 xml:space="preserve">4. “Αποκατάσταση ζημιών των οδικών υποδομών του Δήμου </w:t>
      </w:r>
      <w:proofErr w:type="spellStart"/>
      <w:r w:rsidRPr="00A50A4E">
        <w:rPr>
          <w:rFonts w:ascii="Arial" w:hAnsi="Arial" w:cs="Arial"/>
          <w:sz w:val="22"/>
          <w:szCs w:val="22"/>
        </w:rPr>
        <w:t>Λεβαδέων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Περιφερειακής Βοιωτίας, που επλήγη από τη φυσική καταστροφή της 5ης Ιανουαρίου 2019” με πίστωση για το έτος 2021 ποσού 30.000,00 €.</w:t>
      </w:r>
    </w:p>
    <w:p w:rsidR="005158D7" w:rsidRPr="008A70BF" w:rsidRDefault="009540C4" w:rsidP="006852B4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Κατόπιν ο Πρόεδρος ζήτησε από τα μέλη να αποφασίσουν σχετικά</w:t>
      </w:r>
      <w:r w:rsidR="005158D7" w:rsidRPr="008A70BF">
        <w:rPr>
          <w:rFonts w:ascii="Arial" w:hAnsi="Arial" w:cs="Arial"/>
          <w:sz w:val="22"/>
          <w:szCs w:val="22"/>
        </w:rPr>
        <w:t xml:space="preserve">. </w:t>
      </w:r>
    </w:p>
    <w:p w:rsidR="004F51A4" w:rsidRDefault="004E6F94" w:rsidP="006852B4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25CE"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 w:rsidR="004F51A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29714F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29714F" w:rsidRPr="0029714F" w:rsidRDefault="0029714F" w:rsidP="0029714F">
      <w:pPr>
        <w:pStyle w:val="a8"/>
        <w:numPr>
          <w:ilvl w:val="0"/>
          <w:numId w:val="2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 xml:space="preserve">. 163/29-5-2020 (ΑΔΑ: Ψ3ΧΝ46ΜΤΛ6-ΑΨ7)   εγκυκλίου του Υπουργείου Εσωτερικών « Ενημέρωση αναφορικά με τη διαδικασία λήψης αποφάσεων </w:t>
      </w:r>
      <w:r w:rsidRPr="0029714F">
        <w:rPr>
          <w:rFonts w:ascii="Arial" w:hAnsi="Arial" w:cs="Arial"/>
          <w:sz w:val="22"/>
          <w:szCs w:val="22"/>
        </w:rPr>
        <w:lastRenderedPageBreak/>
        <w:t>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29714F" w:rsidRDefault="0029714F" w:rsidP="00D71BD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F51A4" w:rsidRPr="009B2DB0" w:rsidRDefault="004F51A4" w:rsidP="00D71BDA">
      <w:pPr>
        <w:pStyle w:val="a8"/>
        <w:numPr>
          <w:ilvl w:val="0"/>
          <w:numId w:val="2"/>
        </w:numPr>
        <w:suppressAutoHyphens/>
        <w:spacing w:before="6" w:after="6"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D71BDA">
      <w:pPr>
        <w:widowControl w:val="0"/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9540C4" w:rsidRDefault="004F51A4" w:rsidP="00D71BDA">
      <w:pPr>
        <w:pStyle w:val="a8"/>
        <w:numPr>
          <w:ilvl w:val="0"/>
          <w:numId w:val="2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</w:t>
      </w:r>
      <w:r w:rsidR="00B40BFF" w:rsidRPr="00B40BFF">
        <w:rPr>
          <w:rFonts w:ascii="Calibri" w:hAnsi="Calibri" w:cs="Calibri"/>
          <w:sz w:val="22"/>
          <w:szCs w:val="22"/>
        </w:rPr>
        <w:t xml:space="preserve">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B30747" w:rsidRPr="00A87E21" w:rsidRDefault="006852B4" w:rsidP="00B30747">
      <w:pPr>
        <w:numPr>
          <w:ilvl w:val="0"/>
          <w:numId w:val="34"/>
        </w:numPr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204D02">
        <w:rPr>
          <w:rFonts w:ascii="Arial" w:hAnsi="Arial" w:cs="Arial"/>
          <w:bCs/>
          <w:sz w:val="22"/>
          <w:szCs w:val="22"/>
        </w:rPr>
        <w:t>3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  Απόφαση της </w:t>
      </w:r>
      <w:r w:rsidR="00204D02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Εκτελεστικής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Επιτροπής</w:t>
      </w:r>
      <w:r w:rsidR="00B30747"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B30747" w:rsidRPr="00A87E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διανεμηθεί </w:t>
      </w:r>
    </w:p>
    <w:p w:rsidR="009540C4" w:rsidRPr="0042136D" w:rsidRDefault="009540C4" w:rsidP="009540C4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540C4" w:rsidRPr="00831AB8" w:rsidRDefault="009540C4" w:rsidP="009540C4">
      <w:pPr>
        <w:pStyle w:val="a8"/>
        <w:widowControl w:val="0"/>
        <w:numPr>
          <w:ilvl w:val="0"/>
          <w:numId w:val="2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4F51A4" w:rsidRPr="009540C4" w:rsidRDefault="004F51A4" w:rsidP="009540C4">
      <w:pPr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204D02" w:rsidRDefault="00204D02" w:rsidP="00204D02">
      <w:pPr>
        <w:pStyle w:val="Web"/>
        <w:spacing w:after="0" w:line="360" w:lineRule="auto"/>
        <w:rPr>
          <w:rStyle w:val="af0"/>
          <w:rFonts w:eastAsia="SimSun"/>
          <w:iCs/>
          <w:highlight w:val="white"/>
        </w:rPr>
      </w:pPr>
      <w:r>
        <w:rPr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2021   και </w:t>
      </w:r>
      <w:r>
        <w:rPr>
          <w:rFonts w:ascii="Arial" w:eastAsia="Verdana" w:hAnsi="Arial" w:cs="Arial"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Pr="0046372F">
        <w:rPr>
          <w:rStyle w:val="af0"/>
          <w:rFonts w:eastAsia="SimSun"/>
          <w:b/>
          <w:iCs/>
          <w:highlight w:val="white"/>
        </w:rPr>
        <w:t>εγγράφει</w:t>
      </w:r>
      <w:r>
        <w:rPr>
          <w:rStyle w:val="af0"/>
          <w:rFonts w:eastAsia="SimSun"/>
          <w:iCs/>
          <w:highlight w:val="white"/>
        </w:rPr>
        <w:t xml:space="preserve"> σε αυτό τα παρακάτω νέα έργα:</w:t>
      </w:r>
      <w:r w:rsidRPr="00204D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4D02" w:rsidRPr="00204D02" w:rsidRDefault="00204D02" w:rsidP="0020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04D02">
        <w:rPr>
          <w:rFonts w:ascii="Arial" w:hAnsi="Arial" w:cs="Arial"/>
          <w:sz w:val="22"/>
          <w:szCs w:val="22"/>
        </w:rPr>
        <w:t xml:space="preserve">“Επικαιροποίηση μελέτης εφαρμογής, εκπόνηση μελέτης ενεργειακής απόδοσης, διαμόρφωση περιβάλλοντος χώρου και σύνταξη τευχών δημοπράτησης για την κατασκευή κλειστού κολυμβητηρίου τύπου Κ1 στο Δήμο </w:t>
      </w:r>
      <w:proofErr w:type="spellStart"/>
      <w:r w:rsidRPr="00204D02">
        <w:rPr>
          <w:rFonts w:ascii="Arial" w:hAnsi="Arial" w:cs="Arial"/>
          <w:sz w:val="22"/>
          <w:szCs w:val="22"/>
        </w:rPr>
        <w:t>Λεβαδέων</w:t>
      </w:r>
      <w:proofErr w:type="spellEnd"/>
      <w:r w:rsidRPr="00204D0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04D02">
        <w:rPr>
          <w:rFonts w:ascii="Arial" w:hAnsi="Arial" w:cs="Arial"/>
          <w:sz w:val="22"/>
          <w:szCs w:val="22"/>
        </w:rPr>
        <w:t>προεκτιμώμενης</w:t>
      </w:r>
      <w:proofErr w:type="spellEnd"/>
      <w:r w:rsidRPr="00204D02">
        <w:rPr>
          <w:rFonts w:ascii="Arial" w:hAnsi="Arial" w:cs="Arial"/>
          <w:sz w:val="22"/>
          <w:szCs w:val="22"/>
        </w:rPr>
        <w:t xml:space="preserve"> αμοιβής 576.061,15 €</w:t>
      </w:r>
      <w:r w:rsidR="00000814">
        <w:rPr>
          <w:rFonts w:ascii="Arial" w:hAnsi="Arial" w:cs="Arial"/>
          <w:sz w:val="22"/>
          <w:szCs w:val="22"/>
        </w:rPr>
        <w:t xml:space="preserve">,   </w:t>
      </w:r>
      <w:r w:rsidRPr="00204D02">
        <w:rPr>
          <w:rFonts w:ascii="Arial" w:hAnsi="Arial" w:cs="Arial"/>
          <w:sz w:val="22"/>
          <w:szCs w:val="22"/>
        </w:rPr>
        <w:t xml:space="preserve"> με πίστωση για το έτος 2021 ποσού 20.000,00 €.</w:t>
      </w:r>
    </w:p>
    <w:p w:rsidR="00204D02" w:rsidRPr="00A50A4E" w:rsidRDefault="00204D02" w:rsidP="0020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>2. “</w:t>
      </w:r>
      <w:proofErr w:type="spellStart"/>
      <w:r w:rsidRPr="00A50A4E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μελέτης εφαρμογής, διαμόρφωση περιβάλλοντος χώρου Δημαρχείου, τροποποίηση μελέτης εφαρμογής υπόγειου χώρου στάθμευσης στην πλατεία Λάμπρου Κατσώνη και σύνταξη τευχών δημοπράτησης” </w:t>
      </w:r>
      <w:proofErr w:type="spellStart"/>
      <w:r w:rsidRPr="00A50A4E">
        <w:rPr>
          <w:rFonts w:ascii="Arial" w:hAnsi="Arial" w:cs="Arial"/>
          <w:sz w:val="22"/>
          <w:szCs w:val="22"/>
        </w:rPr>
        <w:t>προεκτιμώμενης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αμοιβής 409.966,85 € με πίστωση για το έτος 2021 ποσού 10.000,00 €.</w:t>
      </w:r>
    </w:p>
    <w:p w:rsidR="00204D02" w:rsidRPr="00A50A4E" w:rsidRDefault="00204D02" w:rsidP="0020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lastRenderedPageBreak/>
        <w:t>3. “Ανάδειξη ιστορικού χώρου Αγίας Παρασκευής και οδού πρόσβασης (</w:t>
      </w:r>
      <w:proofErr w:type="spellStart"/>
      <w:r w:rsidRPr="00A50A4E">
        <w:rPr>
          <w:rFonts w:ascii="Arial" w:hAnsi="Arial" w:cs="Arial"/>
          <w:sz w:val="22"/>
          <w:szCs w:val="22"/>
        </w:rPr>
        <w:t>Γιαννούτσου</w:t>
      </w:r>
      <w:proofErr w:type="spellEnd"/>
      <w:r w:rsidRPr="00A50A4E">
        <w:rPr>
          <w:rFonts w:ascii="Arial" w:hAnsi="Arial" w:cs="Arial"/>
          <w:sz w:val="22"/>
          <w:szCs w:val="22"/>
        </w:rPr>
        <w:t>)” προϋπολογισμού 1.196.650,00 € με πίστωση για το έτος 2021 ποσού 30.000,00 €.</w:t>
      </w:r>
    </w:p>
    <w:p w:rsidR="00204D02" w:rsidRPr="00A50A4E" w:rsidRDefault="00204D02" w:rsidP="0020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4D02" w:rsidRPr="00A50A4E" w:rsidRDefault="00204D02" w:rsidP="00204D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A4E">
        <w:rPr>
          <w:rFonts w:ascii="Arial" w:hAnsi="Arial" w:cs="Arial"/>
          <w:sz w:val="22"/>
          <w:szCs w:val="22"/>
        </w:rPr>
        <w:t xml:space="preserve">4. “Αποκατάσταση ζημιών των οδικών υποδομών του Δήμου </w:t>
      </w:r>
      <w:proofErr w:type="spellStart"/>
      <w:r w:rsidRPr="00A50A4E">
        <w:rPr>
          <w:rFonts w:ascii="Arial" w:hAnsi="Arial" w:cs="Arial"/>
          <w:sz w:val="22"/>
          <w:szCs w:val="22"/>
        </w:rPr>
        <w:t>Λεβαδέων</w:t>
      </w:r>
      <w:proofErr w:type="spellEnd"/>
      <w:r w:rsidRPr="00A50A4E">
        <w:rPr>
          <w:rFonts w:ascii="Arial" w:hAnsi="Arial" w:cs="Arial"/>
          <w:sz w:val="22"/>
          <w:szCs w:val="22"/>
        </w:rPr>
        <w:t xml:space="preserve"> Περιφερειακής Βοιωτίας, που επλήγη από τη φυσική καταστροφή της 5ης Ιανουαρίου 2019” με πίστωση για το έτος 2021 ποσού 30.000,00 €.</w:t>
      </w:r>
    </w:p>
    <w:p w:rsidR="00204D02" w:rsidRPr="00DC0BD8" w:rsidRDefault="00204D02" w:rsidP="00204D0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e"/>
          <w:rFonts w:eastAsia="Arial" w:cs="Arial"/>
          <w:b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 w:rsidRPr="00DC0BD8">
        <w:rPr>
          <w:rStyle w:val="af0"/>
          <w:rFonts w:eastAsia="SimSun"/>
          <w:iCs/>
          <w:highlight w:val="white"/>
        </w:rPr>
        <w:t xml:space="preserve"> Το Δ.Σ. εξουσιοδοτεί τ</w:t>
      </w:r>
      <w:r w:rsidRPr="00DC0BD8">
        <w:rPr>
          <w:rStyle w:val="af0"/>
          <w:rFonts w:eastAsia="SimSun"/>
          <w:iCs/>
          <w:highlight w:val="white"/>
          <w:lang w:val="en-US"/>
        </w:rPr>
        <w:t>o</w:t>
      </w:r>
      <w:r w:rsidRPr="00DC0BD8">
        <w:rPr>
          <w:rStyle w:val="af0"/>
          <w:rFonts w:eastAsia="SimSun"/>
          <w:iCs/>
          <w:highlight w:val="white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3838A1" w:rsidRDefault="005620F5" w:rsidP="00D71BDA">
      <w:pPr>
        <w:pStyle w:val="ad"/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B30747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AF5CF2">
        <w:rPr>
          <w:rFonts w:ascii="Arial" w:eastAsia="Arial" w:hAnsi="Arial" w:cs="Arial"/>
          <w:b/>
          <w:bCs/>
          <w:iCs/>
          <w:sz w:val="22"/>
          <w:szCs w:val="22"/>
        </w:rPr>
        <w:t>3</w:t>
      </w:r>
    </w:p>
    <w:p w:rsidR="00B30747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Tr="00923B9F">
        <w:trPr>
          <w:trHeight w:val="499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923B9F" w:rsidRDefault="00923B9F" w:rsidP="00A6613D"/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0976B2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6852B4">
      <w:footerReference w:type="default" r:id="rId8"/>
      <w:pgSz w:w="11907" w:h="16840" w:code="9"/>
      <w:pgMar w:top="1418" w:right="850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5" w:rsidRDefault="00226FB5">
      <w:r>
        <w:separator/>
      </w:r>
    </w:p>
  </w:endnote>
  <w:endnote w:type="continuationSeparator" w:id="0">
    <w:p w:rsidR="00226FB5" w:rsidRDefault="0022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3D" w:rsidRDefault="00230656">
    <w:pPr>
      <w:pStyle w:val="a3"/>
      <w:jc w:val="center"/>
    </w:pPr>
    <w:fldSimple w:instr=" PAGE   \* MERGEFORMAT ">
      <w:r w:rsidR="002E4F37">
        <w:rPr>
          <w:noProof/>
        </w:rPr>
        <w:t>1</w:t>
      </w:r>
    </w:fldSimple>
  </w:p>
  <w:p w:rsidR="00A6613D" w:rsidRDefault="00A661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5" w:rsidRDefault="00226FB5">
      <w:r>
        <w:separator/>
      </w:r>
    </w:p>
  </w:footnote>
  <w:footnote w:type="continuationSeparator" w:id="0">
    <w:p w:rsidR="00226FB5" w:rsidRDefault="00226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437F7"/>
    <w:multiLevelType w:val="hybridMultilevel"/>
    <w:tmpl w:val="5FB4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6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1"/>
  </w:num>
  <w:num w:numId="4">
    <w:abstractNumId w:val="1"/>
  </w:num>
  <w:num w:numId="5">
    <w:abstractNumId w:val="34"/>
  </w:num>
  <w:num w:numId="6">
    <w:abstractNumId w:val="40"/>
  </w:num>
  <w:num w:numId="7">
    <w:abstractNumId w:val="29"/>
  </w:num>
  <w:num w:numId="8">
    <w:abstractNumId w:val="18"/>
  </w:num>
  <w:num w:numId="9">
    <w:abstractNumId w:val="19"/>
  </w:num>
  <w:num w:numId="10">
    <w:abstractNumId w:val="10"/>
  </w:num>
  <w:num w:numId="11">
    <w:abstractNumId w:val="24"/>
  </w:num>
  <w:num w:numId="12">
    <w:abstractNumId w:val="37"/>
  </w:num>
  <w:num w:numId="13">
    <w:abstractNumId w:val="26"/>
  </w:num>
  <w:num w:numId="14">
    <w:abstractNumId w:val="6"/>
  </w:num>
  <w:num w:numId="15">
    <w:abstractNumId w:val="0"/>
  </w:num>
  <w:num w:numId="16">
    <w:abstractNumId w:val="3"/>
  </w:num>
  <w:num w:numId="17">
    <w:abstractNumId w:val="41"/>
  </w:num>
  <w:num w:numId="18">
    <w:abstractNumId w:val="17"/>
  </w:num>
  <w:num w:numId="19">
    <w:abstractNumId w:val="9"/>
  </w:num>
  <w:num w:numId="20">
    <w:abstractNumId w:val="38"/>
  </w:num>
  <w:num w:numId="21">
    <w:abstractNumId w:val="28"/>
  </w:num>
  <w:num w:numId="22">
    <w:abstractNumId w:val="15"/>
  </w:num>
  <w:num w:numId="23">
    <w:abstractNumId w:val="35"/>
  </w:num>
  <w:num w:numId="24">
    <w:abstractNumId w:val="16"/>
  </w:num>
  <w:num w:numId="25">
    <w:abstractNumId w:val="22"/>
  </w:num>
  <w:num w:numId="26">
    <w:abstractNumId w:val="21"/>
  </w:num>
  <w:num w:numId="27">
    <w:abstractNumId w:val="23"/>
  </w:num>
  <w:num w:numId="28">
    <w:abstractNumId w:val="33"/>
  </w:num>
  <w:num w:numId="29">
    <w:abstractNumId w:val="20"/>
  </w:num>
  <w:num w:numId="30">
    <w:abstractNumId w:val="25"/>
  </w:num>
  <w:num w:numId="31">
    <w:abstractNumId w:val="36"/>
  </w:num>
  <w:num w:numId="32">
    <w:abstractNumId w:val="30"/>
  </w:num>
  <w:num w:numId="33">
    <w:abstractNumId w:val="27"/>
  </w:num>
  <w:num w:numId="34">
    <w:abstractNumId w:val="11"/>
  </w:num>
  <w:num w:numId="35">
    <w:abstractNumId w:val="14"/>
  </w:num>
  <w:num w:numId="36">
    <w:abstractNumId w:val="13"/>
  </w:num>
  <w:num w:numId="37">
    <w:abstractNumId w:val="12"/>
  </w:num>
  <w:num w:numId="3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791"/>
    <w:rsid w:val="00000814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401C"/>
    <w:rsid w:val="000A43AD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6FE1"/>
    <w:rsid w:val="00107F9A"/>
    <w:rsid w:val="001107AD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3DD1"/>
    <w:rsid w:val="00194A88"/>
    <w:rsid w:val="00197110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38C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4D02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6FB5"/>
    <w:rsid w:val="00227B1C"/>
    <w:rsid w:val="00230656"/>
    <w:rsid w:val="00233255"/>
    <w:rsid w:val="00234B99"/>
    <w:rsid w:val="00243F7B"/>
    <w:rsid w:val="00244B4E"/>
    <w:rsid w:val="00244B8E"/>
    <w:rsid w:val="002457EA"/>
    <w:rsid w:val="00246C3D"/>
    <w:rsid w:val="00247DD9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714F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4F37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15701"/>
    <w:rsid w:val="003159F4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E3D"/>
    <w:rsid w:val="00550502"/>
    <w:rsid w:val="0055075E"/>
    <w:rsid w:val="005521C6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5069D"/>
    <w:rsid w:val="00851437"/>
    <w:rsid w:val="00851851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46A6"/>
    <w:rsid w:val="009568B9"/>
    <w:rsid w:val="009573E3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A4E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5CF2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557"/>
    <w:rsid w:val="00B15B04"/>
    <w:rsid w:val="00B16761"/>
    <w:rsid w:val="00B16AE1"/>
    <w:rsid w:val="00B2108F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3121"/>
    <w:rsid w:val="00C667C1"/>
    <w:rsid w:val="00C66ABA"/>
    <w:rsid w:val="00C67D7A"/>
    <w:rsid w:val="00C708FE"/>
    <w:rsid w:val="00C70BB0"/>
    <w:rsid w:val="00C71E9D"/>
    <w:rsid w:val="00C74A9E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7331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538B83-F77B-4F34-950B-F64F2E1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2021-06-04T10:20:00Z</cp:lastPrinted>
  <dcterms:created xsi:type="dcterms:W3CDTF">2021-06-04T10:15:00Z</dcterms:created>
  <dcterms:modified xsi:type="dcterms:W3CDTF">2021-06-07T06:09:00Z</dcterms:modified>
</cp:coreProperties>
</file>