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4A22B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 </w:t>
      </w:r>
      <w:r w:rsidR="00BB750D">
        <w:rPr>
          <w:rFonts w:ascii="Arial" w:eastAsia="Calibri" w:hAnsi="Arial" w:cs="Arial"/>
          <w:b/>
          <w:bCs/>
          <w:position w:val="2"/>
        </w:rPr>
        <w:t>23869</w:t>
      </w:r>
      <w:r w:rsidR="00A81320"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4A22BA" w:rsidRPr="00FD0D42" w:rsidRDefault="004A22BA" w:rsidP="004A22BA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7E7E62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BB750D">
        <w:rPr>
          <w:rFonts w:ascii="Arial" w:eastAsia="Arial" w:hAnsi="Arial" w:cs="Arial"/>
          <w:b/>
          <w:bCs/>
          <w:position w:val="2"/>
          <w:sz w:val="22"/>
          <w:szCs w:val="22"/>
        </w:rPr>
        <w:t>3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/1</w:t>
      </w:r>
      <w:r w:rsidR="00A81320">
        <w:rPr>
          <w:rFonts w:ascii="Arial" w:eastAsia="Arial" w:hAnsi="Arial" w:cs="Arial"/>
          <w:b/>
          <w:bCs/>
          <w:position w:val="2"/>
          <w:sz w:val="22"/>
          <w:szCs w:val="22"/>
        </w:rPr>
        <w:t>2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</w:t>
      </w:r>
      <w:r w:rsidR="00A8132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0B013F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99302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8</w:t>
      </w:r>
      <w:r w:rsidR="00A8132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BA4FDB" w:rsidRDefault="00776082" w:rsidP="00F20186">
      <w:pPr>
        <w:tabs>
          <w:tab w:val="left" w:pos="6237"/>
        </w:tabs>
        <w:snapToGrid w:val="0"/>
        <w:ind w:left="-9"/>
        <w:jc w:val="both"/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ΘΕΜΑ: </w:t>
      </w:r>
      <w:r w:rsidR="00F20186" w:rsidRPr="003008A6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>Έγκριση 19</w:t>
      </w:r>
      <w:r w:rsidR="00F20186" w:rsidRPr="003008A6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vertAlign w:val="superscript"/>
          <w:lang w:bidi="hi-IN"/>
        </w:rPr>
        <w:t>ης</w:t>
      </w:r>
      <w:r w:rsidR="00F20186" w:rsidRPr="003008A6">
        <w:rPr>
          <w:rStyle w:val="af0"/>
          <w:rFonts w:ascii="Arial" w:eastAsia="Cambria" w:hAnsi="Arial" w:cs="Arial"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  <w:t xml:space="preserve">  αναμόρφωσης προϋπολογισμού τρέχουσας χρήσης (299/2020 Απόφαση Ο.Ε)</w:t>
      </w:r>
    </w:p>
    <w:p w:rsidR="00F20186" w:rsidRPr="0099302E" w:rsidRDefault="00F20186" w:rsidP="00F20186">
      <w:pPr>
        <w:tabs>
          <w:tab w:val="left" w:pos="6237"/>
        </w:tabs>
        <w:snapToGrid w:val="0"/>
        <w:ind w:left="-9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81320">
        <w:rPr>
          <w:rStyle w:val="FontStyle17"/>
          <w:rFonts w:ascii="Arial" w:eastAsia="Calibri" w:hAnsi="Arial" w:cs="Arial"/>
          <w:iCs/>
          <w:spacing w:val="-3"/>
          <w:kern w:val="1"/>
        </w:rPr>
        <w:t>30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A81320">
        <w:rPr>
          <w:rStyle w:val="FontStyle17"/>
          <w:rFonts w:ascii="Arial" w:eastAsia="Calibri" w:hAnsi="Arial" w:cs="Arial"/>
          <w:iCs/>
          <w:spacing w:val="-3"/>
          <w:kern w:val="1"/>
        </w:rPr>
        <w:t>Δευτέρα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FB4766">
        <w:rPr>
          <w:rFonts w:ascii="Arial" w:hAnsi="Arial" w:cs="Arial"/>
          <w:b/>
          <w:sz w:val="22"/>
          <w:szCs w:val="22"/>
        </w:rPr>
        <w:t>τ</w:t>
      </w:r>
      <w:r w:rsidR="00FB4766">
        <w:rPr>
          <w:rFonts w:ascii="Arial" w:hAnsi="Arial" w:cs="Arial"/>
          <w:sz w:val="22"/>
          <w:szCs w:val="22"/>
        </w:rPr>
        <w:t>ης</w:t>
      </w:r>
      <w:r w:rsidR="0099302E" w:rsidRPr="00B265D2">
        <w:rPr>
          <w:rFonts w:ascii="Arial" w:hAnsi="Arial" w:cs="Arial"/>
          <w:sz w:val="22"/>
          <w:szCs w:val="22"/>
        </w:rPr>
        <w:t xml:space="preserve">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</w:t>
      </w:r>
      <w:r w:rsidR="00A7149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3424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/2</w:t>
      </w:r>
      <w:r w:rsidR="00A7149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-11-2020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F20186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44AFE">
            <w:pPr>
              <w:ind w:right="-197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="00F44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ind w:left="-77" w:right="-196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795419" w:rsidRPr="00746227" w:rsidRDefault="00795419" w:rsidP="00FD1BED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AF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BB4E5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F2018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20186" w:rsidRDefault="00F2018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20186" w:rsidRDefault="00F20186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F20186" w:rsidRPr="00F44AFE" w:rsidRDefault="00F20186" w:rsidP="00F44AFE">
            <w:pPr>
              <w:pStyle w:val="af"/>
              <w:snapToGrid w:val="0"/>
              <w:rPr>
                <w:sz w:val="22"/>
                <w:szCs w:val="22"/>
              </w:rPr>
            </w:pPr>
            <w:r w:rsidRPr="00F44A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F20186" w:rsidRDefault="00F20186" w:rsidP="00F20186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795419" w:rsidRPr="00397DB9" w:rsidRDefault="00F20186" w:rsidP="00FD1BE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79541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95419" w:rsidRDefault="00F20186" w:rsidP="00FD1BE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73D9F" w:rsidP="00773D9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Οι οποίοι δ</w:t>
            </w:r>
            <w:r w:rsidR="00795419">
              <w:rPr>
                <w:rFonts w:ascii="Arial" w:eastAsia="Arial" w:hAnsi="Arial" w:cs="Arial"/>
                <w:sz w:val="22"/>
                <w:szCs w:val="22"/>
              </w:rPr>
              <w:t xml:space="preserve">εν παρέστησαν αν 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Pr="00BE24B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766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B4766" w:rsidRDefault="00FB4766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B4766" w:rsidRDefault="00FB4766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B4766" w:rsidRDefault="00FB4766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FB4766" w:rsidRDefault="00FB4766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20186" w:rsidRDefault="00F20186" w:rsidP="009222C6">
      <w:pPr>
        <w:tabs>
          <w:tab w:val="center" w:pos="8460"/>
        </w:tabs>
        <w:spacing w:line="276" w:lineRule="auto"/>
        <w:ind w:left="-170"/>
        <w:jc w:val="both"/>
      </w:pPr>
    </w:p>
    <w:p w:rsidR="00F20186" w:rsidRDefault="00A4647F" w:rsidP="00F20186">
      <w:pPr>
        <w:tabs>
          <w:tab w:val="center" w:pos="8460"/>
        </w:tabs>
        <w:suppressAutoHyphens/>
        <w:spacing w:line="276" w:lineRule="auto"/>
        <w:ind w:left="-170"/>
        <w:jc w:val="both"/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F20186">
        <w:rPr>
          <w:rFonts w:ascii="Arial" w:eastAsia="Calibri" w:hAnsi="Arial" w:cs="Arial"/>
          <w:sz w:val="22"/>
          <w:szCs w:val="22"/>
        </w:rPr>
        <w:t xml:space="preserve">Παρόντες στη συνεδρίαση ήταν και οι προσκληθέντες Πρόεδροι των Κοινοτήτων   1)  Αγίας Τριάδας κ. Νικολάου Περικλής, 2) Αγίου Γεωργίου κ. </w:t>
      </w:r>
      <w:proofErr w:type="spellStart"/>
      <w:r w:rsidR="00F20186">
        <w:rPr>
          <w:rFonts w:ascii="Arial" w:eastAsia="Calibri" w:hAnsi="Arial" w:cs="Arial"/>
          <w:sz w:val="22"/>
          <w:szCs w:val="22"/>
        </w:rPr>
        <w:t>Μίχος</w:t>
      </w:r>
      <w:proofErr w:type="spellEnd"/>
      <w:r w:rsidR="00F20186">
        <w:rPr>
          <w:rFonts w:ascii="Arial" w:eastAsia="Calibri" w:hAnsi="Arial" w:cs="Arial"/>
          <w:sz w:val="22"/>
          <w:szCs w:val="22"/>
        </w:rPr>
        <w:t xml:space="preserve"> Αθανάσιος   3)</w:t>
      </w:r>
      <w:proofErr w:type="spellStart"/>
      <w:r w:rsidR="00F20186">
        <w:rPr>
          <w:rFonts w:ascii="Arial" w:eastAsia="Calibri" w:hAnsi="Arial" w:cs="Arial"/>
          <w:sz w:val="22"/>
          <w:szCs w:val="22"/>
        </w:rPr>
        <w:t>Θουρίου</w:t>
      </w:r>
      <w:proofErr w:type="spellEnd"/>
      <w:r w:rsidR="00F20186">
        <w:rPr>
          <w:rFonts w:ascii="Arial" w:eastAsia="Calibri" w:hAnsi="Arial" w:cs="Arial"/>
          <w:sz w:val="22"/>
          <w:szCs w:val="22"/>
        </w:rPr>
        <w:t xml:space="preserve"> κ. </w:t>
      </w:r>
      <w:proofErr w:type="spellStart"/>
      <w:r w:rsidR="00F20186">
        <w:rPr>
          <w:rFonts w:ascii="Arial" w:eastAsia="Calibri" w:hAnsi="Arial" w:cs="Arial"/>
          <w:sz w:val="22"/>
          <w:szCs w:val="22"/>
        </w:rPr>
        <w:t>Γκικόπουλος</w:t>
      </w:r>
      <w:proofErr w:type="spellEnd"/>
      <w:r w:rsidR="00F20186">
        <w:rPr>
          <w:rFonts w:ascii="Arial" w:eastAsia="Calibri" w:hAnsi="Arial" w:cs="Arial"/>
          <w:sz w:val="22"/>
          <w:szCs w:val="22"/>
        </w:rPr>
        <w:t xml:space="preserve"> Νικόλαος 4) Βασιλικών κα. </w:t>
      </w:r>
      <w:proofErr w:type="spellStart"/>
      <w:r w:rsidR="00F20186">
        <w:rPr>
          <w:rFonts w:ascii="Arial" w:eastAsia="Calibri" w:hAnsi="Arial" w:cs="Arial"/>
          <w:sz w:val="22"/>
          <w:szCs w:val="22"/>
        </w:rPr>
        <w:t>Ζαχαράκου</w:t>
      </w:r>
      <w:proofErr w:type="spellEnd"/>
      <w:r w:rsidR="00F20186">
        <w:rPr>
          <w:rFonts w:ascii="Arial" w:eastAsia="Calibri" w:hAnsi="Arial" w:cs="Arial"/>
          <w:sz w:val="22"/>
          <w:szCs w:val="22"/>
        </w:rPr>
        <w:t xml:space="preserve"> Αικατερίνη 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F20186" w:rsidRPr="003165A7" w:rsidRDefault="006D2EE8" w:rsidP="00F2018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lastRenderedPageBreak/>
        <w:t xml:space="preserve"> 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</w:t>
      </w:r>
      <w:r w:rsidR="00A7149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="00F20186"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F20186"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A71490">
        <w:rPr>
          <w:rStyle w:val="FontStyle17"/>
          <w:rFonts w:ascii="Arial" w:eastAsia="Calibri" w:hAnsi="Arial" w:cs="Arial"/>
          <w:iCs/>
          <w:spacing w:val="-3"/>
          <w:kern w:val="1"/>
        </w:rPr>
        <w:t>(3</w:t>
      </w:r>
      <w:r w:rsidR="00A71490" w:rsidRPr="00A71490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="00A7149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της υπ </w:t>
      </w:r>
      <w:proofErr w:type="spellStart"/>
      <w:r w:rsidR="00A71490">
        <w:rPr>
          <w:rStyle w:val="FontStyle17"/>
          <w:rFonts w:ascii="Arial" w:eastAsia="Calibri" w:hAnsi="Arial" w:cs="Arial"/>
          <w:iCs/>
          <w:spacing w:val="-3"/>
          <w:kern w:val="1"/>
        </w:rPr>
        <w:t>αριθμ</w:t>
      </w:r>
      <w:proofErr w:type="spellEnd"/>
      <w:r w:rsidR="00A7149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7E571D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23424/26-11-2020</w:t>
      </w:r>
      <w:r w:rsidR="007E571D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7E571D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πρόσκλησης),</w:t>
      </w:r>
      <w:r w:rsidR="00F20186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F20186"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="00F20186" w:rsidRPr="008A7C07">
        <w:rPr>
          <w:rFonts w:ascii="Arial" w:hAnsi="Arial" w:cs="Arial"/>
          <w:sz w:val="22"/>
          <w:szCs w:val="22"/>
        </w:rPr>
        <w:t xml:space="preserve">  Συμβουλίου</w:t>
      </w:r>
      <w:r w:rsidR="00F20186" w:rsidRPr="008A7C07">
        <w:rPr>
          <w:rFonts w:ascii="Arial" w:hAnsi="Arial" w:cs="Arial"/>
          <w:i/>
          <w:sz w:val="22"/>
          <w:szCs w:val="22"/>
        </w:rPr>
        <w:t xml:space="preserve"> </w:t>
      </w:r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υπ </w:t>
      </w:r>
      <w:proofErr w:type="spellStart"/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2</w:t>
      </w:r>
      <w:r w:rsidR="00F2018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99</w:t>
      </w:r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/2020 (ΑΔΑ:</w:t>
      </w:r>
      <w:r w:rsidR="00F2018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ΨΙΡ</w:t>
      </w:r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ΩΛΗ-</w:t>
      </w:r>
      <w:r w:rsidR="00F2018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ΕΨ0</w:t>
      </w:r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Απόφαση της Οικονομικής Επιτροπής,  </w:t>
      </w:r>
      <w:r w:rsidR="00F2018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σύμφωνα </w:t>
      </w:r>
      <w:r w:rsidR="00F20186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με την οποία   εισηγείται στο Δημοτικό Συμβούλιο την αναμόρφωση του </w:t>
      </w:r>
      <w:r w:rsidR="00F2018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προϋπολογισμού τρέχουσας χρήσης </w:t>
      </w:r>
      <w:r w:rsidR="00F20186" w:rsidRP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F2018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και συγκεκριμένα </w:t>
      </w:r>
    </w:p>
    <w:p w:rsidR="009C7D8B" w:rsidRPr="009C7D8B" w:rsidRDefault="009C7D8B" w:rsidP="009C7D8B">
      <w:pPr>
        <w:tabs>
          <w:tab w:val="center" w:pos="8460"/>
        </w:tabs>
        <w:spacing w:line="276" w:lineRule="auto"/>
        <w:ind w:left="-170"/>
        <w:jc w:val="both"/>
        <w:rPr>
          <w:i/>
        </w:rPr>
      </w:pPr>
    </w:p>
    <w:p w:rsidR="00BE44A7" w:rsidRDefault="00BE44A7" w:rsidP="00BE44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Αύξηση εσόδων κατά 250.140,70€</w:t>
      </w:r>
    </w:p>
    <w:p w:rsidR="00BE44A7" w:rsidRDefault="00BE44A7" w:rsidP="00BE44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BE44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Αύξηση εξόδων κατά 232.290,70€</w:t>
      </w:r>
    </w:p>
    <w:p w:rsidR="00BE44A7" w:rsidRDefault="00BE44A7" w:rsidP="00BE44A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Αύξηση του</w:t>
      </w:r>
      <w:r>
        <w:rPr>
          <w:rFonts w:ascii="Arial" w:hAnsi="Arial" w:cs="Arial"/>
          <w:bCs/>
          <w:sz w:val="22"/>
          <w:szCs w:val="22"/>
        </w:rPr>
        <w:t xml:space="preserve">   αποθεματικού</w:t>
      </w:r>
      <w:r>
        <w:rPr>
          <w:rFonts w:ascii="Arial" w:hAnsi="Arial" w:cs="Arial"/>
          <w:sz w:val="22"/>
          <w:szCs w:val="22"/>
        </w:rPr>
        <w:t xml:space="preserve">  κατά 17.850,00 € και διαμορφώνεται   </w:t>
      </w:r>
      <w:r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145.458,29€.</w:t>
      </w:r>
    </w:p>
    <w:p w:rsidR="00BE44A7" w:rsidRDefault="00BE44A7" w:rsidP="00BE44A7">
      <w:pPr>
        <w:spacing w:line="360" w:lineRule="auto"/>
        <w:rPr>
          <w:rStyle w:val="ae"/>
          <w:rFonts w:ascii="Arial" w:eastAsia="Arial" w:hAnsi="Arial" w:cs="Arial"/>
          <w:i w:val="0"/>
          <w:color w:val="000000"/>
          <w:kern w:val="2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>
        <w:rPr>
          <w:rStyle w:val="ae"/>
          <w:rFonts w:ascii="Arial" w:eastAsia="Arial" w:hAnsi="Arial" w:cs="Arial"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 xml:space="preserve">Ο προϋπολογισμός 2020   ανέρχεται στα </w:t>
      </w:r>
      <w:r>
        <w:rPr>
          <w:rStyle w:val="ae"/>
          <w:rFonts w:ascii="Arial" w:eastAsia="Arial" w:hAnsi="Arial" w:cs="Arial"/>
          <w:b/>
          <w:bCs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 xml:space="preserve">27.510.251,24 € </w:t>
      </w:r>
      <w:r>
        <w:rPr>
          <w:rStyle w:val="ae"/>
          <w:rFonts w:ascii="Arial" w:eastAsia="Arial" w:hAnsi="Arial" w:cs="Arial"/>
          <w:i w:val="0"/>
          <w:color w:val="000000"/>
          <w:kern w:val="2"/>
          <w:sz w:val="22"/>
          <w:szCs w:val="22"/>
          <w:shd w:val="clear" w:color="auto" w:fill="FFFFFF"/>
          <w:lang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CB72E8" w:rsidRDefault="00CB72E8" w:rsidP="00CB72E8">
      <w:pPr>
        <w:tabs>
          <w:tab w:val="center" w:pos="8460"/>
        </w:tabs>
        <w:spacing w:before="113" w:after="113"/>
        <w:ind w:left="113" w:right="113" w:firstLine="113"/>
      </w:pPr>
      <w:r>
        <w:rPr>
          <w:rFonts w:ascii="Arial" w:eastAsia="Arial" w:hAnsi="Arial" w:cs="Arial"/>
          <w:color w:val="000000"/>
          <w:sz w:val="22"/>
          <w:szCs w:val="22"/>
          <w:highlight w:val="white"/>
          <w:shd w:val="clear" w:color="auto" w:fill="FFFFFF"/>
        </w:rPr>
        <w:t>Ο Πρόεδρος κάλεσε τα μέλη του Δημοτικού Συμβουλίου να τοποθετηθούν:</w:t>
      </w:r>
    </w:p>
    <w:p w:rsidR="00CB72E8" w:rsidRDefault="00CB72E8" w:rsidP="00BE44A7">
      <w:pPr>
        <w:spacing w:line="360" w:lineRule="auto"/>
        <w:rPr>
          <w:rStyle w:val="ae"/>
          <w:rFonts w:ascii="Arial" w:eastAsia="Arial" w:hAnsi="Arial" w:cs="Arial"/>
          <w:i w:val="0"/>
          <w:color w:val="000000"/>
          <w:kern w:val="2"/>
          <w:sz w:val="22"/>
          <w:szCs w:val="22"/>
          <w:highlight w:val="white"/>
          <w:lang w:bidi="hi-IN"/>
        </w:rPr>
      </w:pPr>
    </w:p>
    <w:p w:rsidR="00BE44A7" w:rsidRDefault="00CB72E8" w:rsidP="00BE44A7">
      <w:pPr>
        <w:spacing w:line="360" w:lineRule="auto"/>
        <w:rPr>
          <w:rFonts w:ascii="Arial" w:hAnsi="Arial" w:cs="Arial"/>
          <w:sz w:val="22"/>
          <w:szCs w:val="22"/>
        </w:rPr>
      </w:pPr>
      <w:r w:rsidRPr="00F27BF9">
        <w:rPr>
          <w:rFonts w:ascii="Arial" w:eastAsia="Calibri" w:hAnsi="Arial" w:cs="Arial"/>
          <w:color w:val="000000"/>
          <w:sz w:val="22"/>
          <w:szCs w:val="22"/>
          <w:highlight w:val="white"/>
        </w:rPr>
        <w:t>Λαμβάνοντας το λόγο</w:t>
      </w:r>
      <w:r w:rsidRPr="00F27BF9">
        <w:rPr>
          <w:rFonts w:ascii="Arial" w:eastAsia="Calibri" w:hAnsi="Arial" w:cs="Arial"/>
          <w:i/>
          <w:color w:val="000000"/>
          <w:sz w:val="22"/>
          <w:szCs w:val="22"/>
          <w:highlight w:val="white"/>
        </w:rPr>
        <w:t xml:space="preserve">  ο </w:t>
      </w:r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επικεφαλής της δημοτικής  παράταξης « Λαϊκή Συσπείρωση Λιβαδειάς» δημοτικός σύμβουλος κ. </w:t>
      </w:r>
      <w:proofErr w:type="spellStart"/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Κοτσικώνας</w:t>
      </w:r>
      <w:proofErr w:type="spellEnd"/>
      <w:r w:rsidRPr="00F27BF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Επαμεινώνδας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είπε ότι η παράταξή του θα καταψηφίσει την προτεινόμενη αναμόρφωση μιας και πρόκειται για μια διαχειριστική τροποποίηση του προϋπολογισμού τον οποίο επίσης έχει καταψηφίσει η παράταξή του. Τόνισε επίσης ότι είναι πολιτική ευθύνη της κυβέρνησης αυτές οι συχνές αναμορφώσεις γιατί μέσα από αυτές βάζει τους Δήμους στη διαδικασία να ψάχνουν τρόπο να καλύψουν </w:t>
      </w:r>
      <w:proofErr w:type="spellStart"/>
      <w:r>
        <w:rPr>
          <w:rFonts w:ascii="Arial" w:hAnsi="Arial" w:cs="Arial"/>
          <w:sz w:val="22"/>
          <w:szCs w:val="22"/>
        </w:rPr>
        <w:t>τιςε</w:t>
      </w:r>
      <w:proofErr w:type="spellEnd"/>
      <w:r>
        <w:rPr>
          <w:rFonts w:ascii="Arial" w:hAnsi="Arial" w:cs="Arial"/>
          <w:sz w:val="22"/>
          <w:szCs w:val="22"/>
        </w:rPr>
        <w:t xml:space="preserve"> όποιες ανάγκες τους.</w:t>
      </w:r>
    </w:p>
    <w:p w:rsidR="00CB72E8" w:rsidRDefault="00CB72E8" w:rsidP="00BE44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Απαντώντας ο κ. Δήμαρχος είπε ότι πρόθεση της Δημοτικής Αρχής είναι να μειωθούν στο ελάχιστο αυτές οι συνεχείς αναμορφώσεις  υποσχόμενος για μια καλύτερη εικόνα στο προσεχές οικονομικό έτος </w:t>
      </w:r>
      <w:r w:rsidR="00FF08C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αλλά στην παρούσα φάση και εν μέσω αυτών των ιδιαίτερων οικονομικών συνθηκών  </w:t>
      </w:r>
      <w:r w:rsidR="00FF08C3">
        <w:rPr>
          <w:rFonts w:ascii="Arial" w:hAnsi="Arial" w:cs="Arial"/>
          <w:sz w:val="22"/>
          <w:szCs w:val="22"/>
        </w:rPr>
        <w:t>είναι επιβαλλόμενες προκειμένου να λειτουργήσουν όσο το δυνατόν καλύτερα οι υπηρεσίες του Δήμου και να καλυφθούν νέες ανάγκες που συνεχώς προκύπτουν.</w:t>
      </w:r>
    </w:p>
    <w:p w:rsidR="00CB72E8" w:rsidRDefault="00CB72E8" w:rsidP="00BE44A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76082" w:rsidRDefault="00FF08C3" w:rsidP="00FF08C3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776082"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F44AFE" w:rsidRDefault="00776082" w:rsidP="00F44AF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F44AF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F44AFE">
      <w:pPr>
        <w:pStyle w:val="a8"/>
        <w:numPr>
          <w:ilvl w:val="0"/>
          <w:numId w:val="3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F44AF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795419" w:rsidRPr="00FF08C3" w:rsidRDefault="00795419" w:rsidP="00F44AFE">
      <w:pPr>
        <w:pStyle w:val="a8"/>
        <w:numPr>
          <w:ilvl w:val="0"/>
          <w:numId w:val="3"/>
        </w:numPr>
        <w:spacing w:line="276" w:lineRule="auto"/>
        <w:jc w:val="both"/>
        <w:rPr>
          <w:rStyle w:val="ae"/>
          <w:iCs w:val="0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FF08C3" w:rsidRPr="00FF08C3" w:rsidRDefault="00FF08C3" w:rsidP="00FF08C3">
      <w:pPr>
        <w:widowControl w:val="0"/>
        <w:numPr>
          <w:ilvl w:val="0"/>
          <w:numId w:val="21"/>
        </w:numPr>
        <w:tabs>
          <w:tab w:val="center" w:pos="8460"/>
        </w:tabs>
        <w:suppressAutoHyphens/>
        <w:spacing w:line="276" w:lineRule="auto"/>
        <w:jc w:val="both"/>
        <w:rPr>
          <w:sz w:val="22"/>
          <w:szCs w:val="22"/>
        </w:rPr>
      </w:pPr>
      <w:r w:rsidRPr="00FF08C3">
        <w:rPr>
          <w:rFonts w:ascii="Arial" w:hAnsi="Arial" w:cs="Arial"/>
          <w:sz w:val="22"/>
          <w:szCs w:val="22"/>
        </w:rPr>
        <w:t xml:space="preserve"> την υπ αριθμ.</w:t>
      </w:r>
      <w:r>
        <w:rPr>
          <w:rFonts w:ascii="Arial" w:hAnsi="Arial" w:cs="Arial"/>
          <w:sz w:val="22"/>
          <w:szCs w:val="22"/>
        </w:rPr>
        <w:t xml:space="preserve">299/2020 </w:t>
      </w:r>
      <w:r w:rsidRPr="00FF08C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(ΑΔΑ: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ΨΙΡ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ΩΛΗ-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ΕΨ0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) Απόφαση της Οικονομικής Επιτροπής,</w:t>
      </w:r>
      <w:r w:rsidRPr="00FF08C3">
        <w:rPr>
          <w:rFonts w:eastAsia="Arial"/>
          <w:color w:val="000000"/>
          <w:sz w:val="22"/>
          <w:szCs w:val="22"/>
        </w:rPr>
        <w:t xml:space="preserve"> </w:t>
      </w:r>
    </w:p>
    <w:p w:rsidR="00FF08C3" w:rsidRPr="00CF1772" w:rsidRDefault="00FF08C3" w:rsidP="00FF08C3">
      <w:pPr>
        <w:pStyle w:val="30"/>
        <w:numPr>
          <w:ilvl w:val="0"/>
          <w:numId w:val="21"/>
        </w:numPr>
        <w:tabs>
          <w:tab w:val="center" w:pos="8460"/>
        </w:tabs>
        <w:spacing w:before="100" w:beforeAutospacing="1" w:after="0" w:line="240" w:lineRule="auto"/>
        <w:contextualSpacing w:val="0"/>
        <w:jc w:val="both"/>
        <w:rPr>
          <w:rFonts w:ascii="Arial" w:hAnsi="Arial" w:cs="Arial"/>
        </w:rPr>
      </w:pPr>
      <w:r w:rsidRPr="00CF1772">
        <w:rPr>
          <w:rFonts w:ascii="Arial" w:hAnsi="Arial" w:cs="Arial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FF08C3" w:rsidRPr="00A042D8" w:rsidRDefault="00FF08C3" w:rsidP="00FF08C3">
      <w:pPr>
        <w:pStyle w:val="a8"/>
        <w:rPr>
          <w:i/>
        </w:rPr>
      </w:pPr>
    </w:p>
    <w:p w:rsidR="00FF08C3" w:rsidRPr="005823B7" w:rsidRDefault="00FF08C3" w:rsidP="00FF08C3">
      <w:pPr>
        <w:pStyle w:val="a5"/>
        <w:numPr>
          <w:ilvl w:val="0"/>
          <w:numId w:val="21"/>
        </w:numPr>
        <w:suppressAutoHyphens/>
        <w:spacing w:line="360" w:lineRule="auto"/>
        <w:jc w:val="both"/>
        <w:rPr>
          <w:rFonts w:cs="Arial"/>
        </w:rPr>
      </w:pPr>
      <w:r w:rsidRPr="006C274F">
        <w:rPr>
          <w:rFonts w:cs="Arial"/>
          <w:color w:val="000000"/>
          <w:szCs w:val="22"/>
        </w:rPr>
        <w:t xml:space="preserve">  </w:t>
      </w: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FF08C3" w:rsidRPr="00FF08C3" w:rsidRDefault="00FF08C3" w:rsidP="00FF08C3">
      <w:pPr>
        <w:widowControl w:val="0"/>
        <w:tabs>
          <w:tab w:val="center" w:pos="84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</w:p>
    <w:p w:rsidR="00FF08C3" w:rsidRDefault="00FF08C3" w:rsidP="00FF08C3">
      <w:pPr>
        <w:widowControl w:val="0"/>
        <w:spacing w:line="276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ΚΑΤΑ ΠΛΕΙΟΨΗΦΙΑ</w:t>
      </w:r>
    </w:p>
    <w:p w:rsidR="00FF08C3" w:rsidRDefault="00FF08C3" w:rsidP="00FF08C3">
      <w:pPr>
        <w:widowControl w:val="0"/>
        <w:tabs>
          <w:tab w:val="center" w:pos="8460"/>
        </w:tabs>
        <w:jc w:val="both"/>
        <w:rPr>
          <w:rFonts w:ascii="Arial" w:hAnsi="Arial" w:cs="Arial"/>
          <w:color w:val="00000A"/>
          <w:sz w:val="22"/>
          <w:szCs w:val="22"/>
        </w:rPr>
      </w:pPr>
    </w:p>
    <w:p w:rsidR="00FF08C3" w:rsidRDefault="00FF08C3" w:rsidP="00FF08C3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/>
          <w:iCs/>
          <w:color w:val="00000A"/>
          <w:kern w:val="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</w:rPr>
        <w:t>Α)</w:t>
      </w:r>
      <w:r>
        <w:rPr>
          <w:rStyle w:val="ae"/>
          <w:rFonts w:ascii="Arial" w:eastAsia="Bookman Old Style" w:hAnsi="Arial" w:cs="Arial"/>
          <w:i w:val="0"/>
          <w:spacing w:val="-3"/>
          <w:kern w:val="2"/>
          <w:sz w:val="22"/>
          <w:szCs w:val="22"/>
          <w:shd w:val="clear" w:color="auto" w:fill="FFFFFF"/>
        </w:rPr>
        <w:t xml:space="preserve"> Εγκρίνει την 19η αναμόρφωση του προϋπολογισμού οικονομικού έτους 2020 ως κατωτέρω:</w:t>
      </w:r>
      <w:r>
        <w:rPr>
          <w:rFonts w:ascii="Arial" w:eastAsia="Arial" w:hAnsi="Arial" w:cs="Arial"/>
          <w:bCs/>
          <w:i/>
          <w:iCs/>
          <w:color w:val="00000A"/>
          <w:kern w:val="2"/>
          <w:sz w:val="22"/>
          <w:szCs w:val="22"/>
          <w:highlight w:val="white"/>
          <w:shd w:val="clear" w:color="auto" w:fill="FFFFFF"/>
        </w:rPr>
        <w:t xml:space="preserve"> </w:t>
      </w:r>
    </w:p>
    <w:p w:rsidR="00FF08C3" w:rsidRDefault="00FF08C3" w:rsidP="00FF08C3">
      <w:pPr>
        <w:spacing w:line="276" w:lineRule="auto"/>
        <w:jc w:val="both"/>
        <w:rPr>
          <w:i/>
        </w:rPr>
      </w:pPr>
    </w:p>
    <w:p w:rsidR="00FF08C3" w:rsidRDefault="00FF08C3" w:rsidP="00FF08C3">
      <w:pPr>
        <w:pStyle w:val="ad"/>
        <w:rPr>
          <w:rFonts w:ascii="Arial" w:hAnsi="Arial" w:cs="Arial"/>
          <w:color w:val="000000"/>
          <w:sz w:val="22"/>
          <w:szCs w:val="22"/>
        </w:rPr>
      </w:pPr>
      <w:r w:rsidRPr="002925BF">
        <w:rPr>
          <w:rFonts w:ascii="Arial" w:hAnsi="Arial" w:cs="Arial"/>
          <w:b/>
          <w:bCs/>
          <w:iCs/>
          <w:sz w:val="22"/>
          <w:szCs w:val="22"/>
        </w:rPr>
        <w:t xml:space="preserve">1.Αύξηση </w:t>
      </w:r>
      <w:proofErr w:type="spellStart"/>
      <w:r w:rsidRPr="002925BF">
        <w:rPr>
          <w:rFonts w:ascii="Arial" w:hAnsi="Arial" w:cs="Arial"/>
          <w:b/>
          <w:bCs/>
          <w:iCs/>
          <w:sz w:val="22"/>
          <w:szCs w:val="22"/>
        </w:rPr>
        <w:t>Κ.Α.Εσόδων</w:t>
      </w:r>
      <w:proofErr w:type="spellEnd"/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992"/>
        <w:gridCol w:w="2977"/>
        <w:gridCol w:w="1276"/>
        <w:gridCol w:w="1559"/>
        <w:gridCol w:w="1134"/>
        <w:gridCol w:w="1843"/>
      </w:tblGrid>
      <w:tr w:rsidR="00FF08C3" w:rsidRPr="00D7097C" w:rsidTr="00FF08C3">
        <w:trPr>
          <w:trHeight w:val="67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FF08C3" w:rsidRPr="00D7097C" w:rsidRDefault="00FF08C3" w:rsidP="00BB4E5D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proofErr w:type="spellStart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FF08C3" w:rsidRPr="00D7097C" w:rsidRDefault="00FF08C3" w:rsidP="00BB4E5D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FF08C3" w:rsidRPr="00D7097C" w:rsidTr="00FF08C3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1322.004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Πάρκο Άθλησης Δήμου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(ΣΑΕΠ 766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FF08C3" w:rsidRPr="00D7097C" w:rsidTr="00FF08C3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1322.038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Default="00FF08C3" w:rsidP="00BB4E5D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ΠΔΕ ΣΑΕ 055-ΥΠ.ΕΣ.  για Παρεμβάσεις εκσυγχρονισμού κτιριακού αποθέματος αρχιτεκτονικής αξίας (πρώην κτίριο Πανεπιστημίου) και περιβάλλοντος χώρου με εφαρμογές ενεργειακής αναβάθμισης για τη χρήση δημοτικών υπηρεσιών και </w:t>
            </w:r>
          </w:p>
          <w:p w:rsidR="00FF08C3" w:rsidRPr="00D7097C" w:rsidRDefault="00FF08C3" w:rsidP="00BB4E5D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πολιτιστικών δραστηριοτήτων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158.590,70€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658.590,70€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ΠΔΕ ΣΑΕ 055-ΥΠ.ΕΣ.  </w:t>
            </w:r>
          </w:p>
        </w:tc>
      </w:tr>
      <w:tr w:rsidR="00FF08C3" w:rsidRPr="00D7097C" w:rsidTr="00FF08C3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132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2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.0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Επισκευή Τρούλου Ιερού Ναού Αγίας Σοφίας στο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Καταλανικό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Κάστρο Λιβαδειάς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(ΣΑΕΠ 766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FF08C3" w:rsidRPr="00D7097C" w:rsidTr="00FF08C3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1322.0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5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Συντήρηση Αγροτικής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Οδοποιϊας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στο Δήμο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Β΄φάση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Π.Δ.Ε (ΣΑΕΠ 2017ΕΠ5660003)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Περιφ.Στερεάς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Ελλάδας</w:t>
            </w:r>
          </w:p>
        </w:tc>
      </w:tr>
      <w:tr w:rsidR="00FF08C3" w:rsidRPr="00D7097C" w:rsidTr="00FF08C3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εσόδων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160.190,70 €</w:t>
            </w:r>
          </w:p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FF08C3" w:rsidRPr="00FF08C3" w:rsidRDefault="00FF08C3" w:rsidP="00FF08C3">
      <w:pPr>
        <w:spacing w:line="276" w:lineRule="auto"/>
        <w:jc w:val="both"/>
      </w:pPr>
    </w:p>
    <w:p w:rsidR="00FF08C3" w:rsidRDefault="00FF08C3" w:rsidP="00FF08C3">
      <w:pPr>
        <w:spacing w:line="276" w:lineRule="auto"/>
        <w:jc w:val="both"/>
        <w:rPr>
          <w:i/>
        </w:rPr>
      </w:pPr>
    </w:p>
    <w:p w:rsidR="00FF08C3" w:rsidRDefault="00FF08C3" w:rsidP="00FF08C3">
      <w:pPr>
        <w:spacing w:line="276" w:lineRule="auto"/>
        <w:jc w:val="both"/>
        <w:rPr>
          <w:i/>
        </w:rPr>
      </w:pPr>
    </w:p>
    <w:p w:rsidR="00FF08C3" w:rsidRPr="00CD21F3" w:rsidRDefault="00FF08C3" w:rsidP="00FF08C3">
      <w:pPr>
        <w:pStyle w:val="ad"/>
        <w:rPr>
          <w:rFonts w:ascii="Verdana" w:hAnsi="Verdana" w:cs="Arial"/>
          <w:b/>
          <w:iCs/>
          <w:color w:val="000000"/>
        </w:rPr>
      </w:pPr>
      <w:r w:rsidRPr="00CD21F3">
        <w:rPr>
          <w:rFonts w:ascii="Verdana" w:hAnsi="Verdana" w:cs="Arial"/>
          <w:b/>
          <w:bCs/>
          <w:iCs/>
        </w:rPr>
        <w:lastRenderedPageBreak/>
        <w:t xml:space="preserve">2.Μείωση </w:t>
      </w:r>
      <w:r w:rsidRPr="00CD21F3">
        <w:rPr>
          <w:rFonts w:ascii="Verdana" w:hAnsi="Verdana" w:cs="Arial"/>
          <w:b/>
          <w:iCs/>
          <w:color w:val="000000"/>
        </w:rPr>
        <w:t>Κ.Α. Εξόδων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268"/>
        <w:gridCol w:w="1560"/>
        <w:gridCol w:w="1417"/>
        <w:gridCol w:w="1559"/>
        <w:gridCol w:w="1276"/>
      </w:tblGrid>
      <w:tr w:rsidR="00FF08C3" w:rsidTr="00FF08C3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proofErr w:type="spellStart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FF08C3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00/6431.001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Έξοδα ενημέρωσης και προβολής δραστηριοτήτων του Δήμου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2.628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,56€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2.628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,56€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00/6431.003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Έκδοση τουριστικού -ενημερωτικού φυλλαδίου Δήμου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    1.000,00€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10/6011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947.390,00€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937.390,00€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Tr="00FF08C3">
        <w:trPr>
          <w:trHeight w:val="96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10/6051.010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σύνταξης Δημοσίου (ΕΦΚΑ)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93.809,00€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2.500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91.309,00€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10/6411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Έξοδα κίνησης ιδιοκτητών μεταφορικών μέσων (καύσιμα, λιπαντικά, διόδια κλπ)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120,00€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2.880,00€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10/6643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καυσίμων για θέρμανση και φωτισμό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1.680,00€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28.320,00€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15/6011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480.032,00€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477.532,00€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15/6021.003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Τακτικές αποδοχές σχολικών φυλάκων με σύμβαση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Ιδιωτ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. Δικαίου Αορίστου Χρόνου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98.350,00€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93.350,00€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15/6052.003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(ΙΚΑ )ΕΦΚΑ σχολικών φυλάκων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20.810,00€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19.310,00€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15/6471.005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Επετειακές-εορταστικές εκδηλώσεις και δραστηριότητες όλων 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των Κοινοτήτων του Δήμου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15.000,00€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371,44€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14.628,56€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15/6641.001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210,00€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2.790,00€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15/6643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καυσίμων για θέρμανση και φωτισμό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210,00€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34.790,00€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15/6644.001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καυσίμων κίνησης θέρμανση νερού πισίνας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8.000,00€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3.850,00€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4.150,00€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20/6011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617.723,00€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300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617.473,00€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20/6061.001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Παροχές σε είδος-είδη ατομικής προστασίας εργαζομένων (ένδυση κλπ)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16.000,00€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13.000,00€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20/6063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Λοιπές παροχές σε είδος (ένδυση εργατοτεχνικού προσωπικού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κ.λ.π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4.100,00€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20/6211.001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Ηλεκτρικό ρεύμα για φωτισμό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οδών,πλατειών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και κοινοχρήστων χώρων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506.998,37€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24.770,00€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482.228,37€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20/6641.001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Προμήθεια καυσίμων και λιπαντικών για κίνηση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μεταφ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. μέσων υπ. καθαριότητας και ηλεκτροφωτισμού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148.000,00€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16.050,00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131.950,00€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20/6699.001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Προμήθεια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σάκκων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απορριμμάτων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8.000,00€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7.500,00€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30/6641.001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καυσίμων και λιπαντικών για κίνηση μεταφορικών μέσων και μηχανημάτων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28.000,00€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8.370,00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19.630,00€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35/6061.001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Παροχές σε είδος-είδη ατομικής προστασίας εργαζομένων (ένδυση κλπ)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2.800,00€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2.300,00€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35/6641.002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καυσίμων και λιπαντικών για  την κίνηση μεταφορικών μέσων και μηχανημάτων για τις ανάγκες της πυροπροστασίας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3.750,00€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5.250,00€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35/6644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καυσίμων και λιπαντικών για λοιπές ανάγκες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2.500,00€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140,00€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2.360,00€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45/6061.001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Παροχές σε είδος-είδη ατομικής προστασίας εργαζομένων (ένδυση κλπ)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800,00€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FF08C3">
        <w:trPr>
          <w:trHeight w:val="4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μείωσης εξόδων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  89.950,00 €</w:t>
            </w:r>
          </w:p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FF08C3" w:rsidRPr="00FF08C3" w:rsidRDefault="00FF08C3" w:rsidP="00FF08C3">
      <w:pPr>
        <w:spacing w:line="276" w:lineRule="auto"/>
        <w:jc w:val="both"/>
        <w:rPr>
          <w:i/>
        </w:rPr>
      </w:pPr>
    </w:p>
    <w:p w:rsidR="00FF08C3" w:rsidRDefault="00FF08C3" w:rsidP="00FF08C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</w:t>
      </w:r>
      <w:r>
        <w:rPr>
          <w:rFonts w:ascii="Arial" w:hAnsi="Arial" w:cs="Arial"/>
          <w:iCs/>
          <w:sz w:val="22"/>
          <w:szCs w:val="22"/>
        </w:rPr>
        <w:t xml:space="preserve"> Το ποσό των </w:t>
      </w:r>
      <w:r>
        <w:rPr>
          <w:rFonts w:ascii="Arial" w:hAnsi="Arial" w:cs="Arial"/>
          <w:b/>
          <w:iCs/>
          <w:sz w:val="22"/>
          <w:szCs w:val="22"/>
        </w:rPr>
        <w:t>250.140,70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>
        <w:rPr>
          <w:rFonts w:ascii="Arial" w:hAnsi="Arial" w:cs="Arial"/>
          <w:bCs/>
          <w:iCs/>
          <w:sz w:val="22"/>
          <w:szCs w:val="22"/>
        </w:rPr>
        <w:t>μεταφέρεται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στο αποθεματικό το οποίο ενισχύεται ισόποσα. </w:t>
      </w:r>
    </w:p>
    <w:p w:rsidR="00FF08C3" w:rsidRDefault="00FF08C3" w:rsidP="00FF08C3">
      <w:pPr>
        <w:jc w:val="both"/>
        <w:rPr>
          <w:rFonts w:ascii="Arial" w:hAnsi="Arial" w:cs="Arial"/>
          <w:iCs/>
          <w:sz w:val="22"/>
          <w:szCs w:val="22"/>
        </w:rPr>
      </w:pPr>
    </w:p>
    <w:p w:rsidR="00FF08C3" w:rsidRDefault="00FF08C3" w:rsidP="00FF08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 Από  την πίστωση του αποθεματικού κεφαλαίου (Κ.Α. 9111) το ποσό των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232.290,70 €  </w:t>
      </w:r>
      <w:r>
        <w:rPr>
          <w:rFonts w:ascii="Arial" w:hAnsi="Arial" w:cs="Arial"/>
          <w:iCs/>
          <w:sz w:val="22"/>
          <w:szCs w:val="22"/>
        </w:rPr>
        <w:t xml:space="preserve"> μεταφέρεται στο σκέλος των εξόδων προς ενίσχυση/δημιουργία Κ.Α. Εξόδων :</w:t>
      </w:r>
    </w:p>
    <w:p w:rsidR="00FF08C3" w:rsidRDefault="00FF08C3" w:rsidP="00FF08C3">
      <w:pPr>
        <w:pStyle w:val="af"/>
        <w:snapToGri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FF08C3" w:rsidRPr="00CD21F3" w:rsidRDefault="00FF08C3" w:rsidP="00FF08C3">
      <w:pPr>
        <w:pStyle w:val="ad"/>
        <w:rPr>
          <w:rFonts w:ascii="Verdana" w:hAnsi="Verdana" w:cs="Arial"/>
        </w:rPr>
      </w:pPr>
      <w:r w:rsidRPr="00CD21F3">
        <w:rPr>
          <w:rFonts w:ascii="Verdana" w:hAnsi="Verdana" w:cs="Arial"/>
          <w:b/>
          <w:bCs/>
          <w:iCs/>
        </w:rPr>
        <w:t xml:space="preserve">Αύξηση  </w:t>
      </w:r>
      <w:r w:rsidRPr="00CD21F3">
        <w:rPr>
          <w:rFonts w:ascii="Verdana" w:hAnsi="Verdana" w:cs="Arial"/>
          <w:b/>
          <w:iCs/>
          <w:color w:val="000000"/>
        </w:rPr>
        <w:t>Κ.Α. Εξόδων</w:t>
      </w:r>
    </w:p>
    <w:tbl>
      <w:tblPr>
        <w:tblW w:w="1020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276"/>
        <w:gridCol w:w="2552"/>
        <w:gridCol w:w="1701"/>
        <w:gridCol w:w="1276"/>
        <w:gridCol w:w="1417"/>
        <w:gridCol w:w="1276"/>
      </w:tblGrid>
      <w:tr w:rsidR="00FF08C3" w:rsidRPr="00D7097C" w:rsidTr="002F5BA3">
        <w:trPr>
          <w:trHeight w:val="70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proofErr w:type="spellStart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jc w:val="center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FF08C3" w:rsidRPr="00D7097C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00/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6431.009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Τουριστική προβολή του Δήμου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μέσω νέων τεχνολογιών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,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00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10/6051.007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τακτικών υπαλλήλων υπέρ ΚΣΚΥ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22.022,00€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150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22.172,00€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D7097C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15/6021.002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υπαλλήλων Κοινωνικής Προστασίας, Παιδείας, Αθλητισμού και  Πολιτισμού (Παιδικοί Σταθμοί, ΚΑΠΗ, Δημοτικό Ωδείο κλπ)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352.920,00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354.920,00€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15/6051.002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εισφορες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ΤΥΔΚΥ μονίμων κοινωνικών υπηρεσιών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10.960,00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150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11.110,00€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15/6462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Δημοσίευση προκηρύξεων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1.500,00€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20/6021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Τακτικές αποδοχές (περιλαμβάνονται βασικός 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μισθός, δώρα εορτών, γενικά και ειδικά τακτικά επιδόματα)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86.855,00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300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87.155,00€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20/6263.001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Συντηρήσεις-Επισκευές αυτοκινήτων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214.000,00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20.450,00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234.450,00€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20/6662.001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ηλεκτρολογικού υλικού για τη συντήρηση ηλεκτροφωτισμού Λιβαδειάς και τοπικών διαμερισμάτων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27.700,00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24.770,00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52.470,00€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30/6011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479.400,00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600,00€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480.000,00€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30/6263.001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Συντήρηση και επισκευή μεταφορικών μέσων και μηχανημάτων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35.000,00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18.930,00€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53.930,00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70/6011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20.856,00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150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21.006,00€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70/6051.002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ΤΥΔΚΥ μονίμων υπαλλήλων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100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1.039,00€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FF08C3" w:rsidRPr="002925BF" w:rsidTr="002F5BA3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61/7311.001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Πάρκο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Αθλησης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Δήμου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-Προπονητικό Κέντρο (Γυμναστήριο)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201.100,00€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201.600,00€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</w:t>
            </w:r>
          </w:p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(ΣΑΕΠ 766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FF08C3" w:rsidRPr="002925BF" w:rsidTr="002F5BA3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64/7331.001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Επισκευή Τρούλου Ιερού Ναού Αγίας Σοφίας στο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Καταλανικό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Κάστρο Λιβαδειάς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51.100,00€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51.200,00€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</w:t>
            </w:r>
          </w:p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(ΣΑΕΠ 766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64/7333.005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Συντήρηση Αγροτικής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Οδοποιϊας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στο Δήμο 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Β΄φάση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Π.Δ.Ε (ΣΑΕΠ 2017ΕΠ5660003)</w:t>
            </w:r>
            <w:proofErr w:type="spellStart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Περιφ.Στερεάς</w:t>
            </w:r>
            <w:proofErr w:type="spellEnd"/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Ελλάδας</w:t>
            </w:r>
          </w:p>
        </w:tc>
      </w:tr>
      <w:tr w:rsidR="00FF08C3" w:rsidRPr="002925BF" w:rsidTr="002F5BA3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64/7341.014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Παρεμβάσεις εκσυγχρονισμού κτιριακού αποθέματος αρχιτεκτονικής αξίας, (πρώην κτίριο Πανεπιστημίου) και </w:t>
            </w: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περιβάλλοντος χώρου, με εφαρμογές ενεργειακής αναβάθμισης, για την χρήση Δημοτικών Υπηρεσιών και Πολιτιστικών Δραστηριοτήτων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923.169,32€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158.590,70€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>1.081.760,02€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8C3" w:rsidRPr="00D7097C" w:rsidRDefault="00FF08C3" w:rsidP="00BB4E5D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ΠΔΕ ΣΑΕ 055-ΥΠ.ΕΣ.  </w:t>
            </w:r>
          </w:p>
        </w:tc>
      </w:tr>
      <w:tr w:rsidR="00FF08C3" w:rsidRPr="002925BF" w:rsidTr="002F5BA3">
        <w:trPr>
          <w:trHeight w:val="117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snapToGrid w:val="0"/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FF08C3" w:rsidRPr="00D7097C" w:rsidRDefault="00FF08C3" w:rsidP="00BB4E5D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7097C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232.290,70€</w:t>
            </w:r>
          </w:p>
          <w:p w:rsidR="00FF08C3" w:rsidRPr="00D7097C" w:rsidRDefault="00FF08C3" w:rsidP="00BB4E5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FF08C3" w:rsidRPr="00D7097C" w:rsidRDefault="00FF08C3" w:rsidP="00BB4E5D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D83A95" w:rsidRPr="00D83A95" w:rsidRDefault="00D83A95" w:rsidP="00D83A95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76082" w:rsidRDefault="00776082" w:rsidP="00795419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</w:t>
      </w:r>
    </w:p>
    <w:p w:rsidR="00776082" w:rsidRDefault="00776082" w:rsidP="00776082">
      <w:pPr>
        <w:widowControl w:val="0"/>
        <w:tabs>
          <w:tab w:val="center" w:pos="846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:rsidR="002F5BA3" w:rsidRDefault="002F5BA3" w:rsidP="002F5BA3">
      <w:pPr>
        <w:pStyle w:val="ad"/>
        <w:spacing w:before="100" w:beforeAutospacing="1" w:after="100" w:afterAutospacing="1"/>
        <w:ind w:left="-142" w:firstLine="426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αποθεματικό αυξάνεται  κατά </w:t>
      </w:r>
      <w:r>
        <w:rPr>
          <w:rFonts w:ascii="Arial" w:hAnsi="Arial" w:cs="Arial"/>
          <w:b/>
          <w:iCs/>
          <w:sz w:val="22"/>
          <w:szCs w:val="22"/>
        </w:rPr>
        <w:t xml:space="preserve"> 17.850,29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>
        <w:rPr>
          <w:rFonts w:ascii="Arial" w:hAnsi="Arial" w:cs="Arial"/>
          <w:iCs/>
          <w:sz w:val="22"/>
          <w:szCs w:val="22"/>
        </w:rPr>
        <w:t xml:space="preserve">και  διαμορφώνεται  </w:t>
      </w:r>
      <w:r>
        <w:rPr>
          <w:rFonts w:ascii="Arial" w:hAnsi="Arial" w:cs="Arial"/>
          <w:bCs/>
          <w:iCs/>
          <w:sz w:val="22"/>
          <w:szCs w:val="22"/>
        </w:rPr>
        <w:t xml:space="preserve">στα </w:t>
      </w:r>
      <w:r>
        <w:rPr>
          <w:rFonts w:ascii="Arial" w:hAnsi="Arial" w:cs="Arial"/>
          <w:b/>
          <w:bCs/>
          <w:iCs/>
          <w:sz w:val="22"/>
          <w:szCs w:val="22"/>
        </w:rPr>
        <w:t>145.458,29€.</w:t>
      </w:r>
    </w:p>
    <w:p w:rsidR="002F5BA3" w:rsidRDefault="002F5BA3" w:rsidP="002F5BA3">
      <w:pPr>
        <w:tabs>
          <w:tab w:val="center" w:pos="8460"/>
        </w:tabs>
        <w:spacing w:before="113" w:after="113" w:line="276" w:lineRule="auto"/>
        <w:ind w:left="-170" w:right="-113"/>
        <w:jc w:val="both"/>
      </w:pPr>
      <w:r>
        <w:rPr>
          <w:rFonts w:ascii="Arial" w:hAnsi="Arial" w:cs="Arial"/>
          <w:iCs/>
          <w:sz w:val="22"/>
          <w:szCs w:val="22"/>
        </w:rPr>
        <w:t xml:space="preserve">Ο προϋπολογισμός 2020, μετά την παραπάνω αναμόρφωση, θα ανέρχεται στα </w:t>
      </w:r>
      <w:r>
        <w:rPr>
          <w:rFonts w:ascii="Arial" w:hAnsi="Arial" w:cs="Arial"/>
          <w:b/>
          <w:iCs/>
          <w:sz w:val="22"/>
          <w:szCs w:val="22"/>
        </w:rPr>
        <w:t>27.510.251,24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>
        <w:rPr>
          <w:rStyle w:val="af0"/>
          <w:rFonts w:ascii="Arial" w:hAnsi="Arial" w:cs="Arial"/>
          <w:b w:val="0"/>
          <w:bCs w:val="0"/>
          <w:iCs/>
          <w:sz w:val="22"/>
          <w:szCs w:val="22"/>
        </w:rPr>
        <w:t xml:space="preserve">οικ. 55905/29.07.2019  </w:t>
      </w:r>
      <w:r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2F5BA3" w:rsidRDefault="002F5BA3" w:rsidP="002F5BA3">
      <w:pPr>
        <w:tabs>
          <w:tab w:val="center" w:pos="8460"/>
        </w:tabs>
        <w:spacing w:before="113" w:after="113" w:line="276" w:lineRule="auto"/>
        <w:ind w:left="-170" w:right="-113"/>
        <w:jc w:val="both"/>
      </w:pPr>
      <w:r>
        <w:rPr>
          <w:rFonts w:ascii="Arial" w:eastAsia="Bookman Old Style" w:hAnsi="Arial" w:cs="Arial"/>
          <w:b/>
          <w:bCs/>
          <w:sz w:val="22"/>
          <w:szCs w:val="22"/>
        </w:rPr>
        <w:t>Κατά</w:t>
      </w:r>
      <w:r>
        <w:rPr>
          <w:rFonts w:ascii="Arial" w:eastAsia="Bookman Old Style" w:hAnsi="Arial" w:cs="Arial"/>
          <w:bCs/>
          <w:sz w:val="22"/>
          <w:szCs w:val="22"/>
        </w:rPr>
        <w:t xml:space="preserve">  ψήφισαν οι δημοτικοί σύμβουλοι 1) </w:t>
      </w:r>
      <w:proofErr w:type="spellStart"/>
      <w:r>
        <w:rPr>
          <w:rFonts w:ascii="Arial" w:eastAsia="Bookman Old Style" w:hAnsi="Arial" w:cs="Arial"/>
          <w:bCs/>
          <w:sz w:val="22"/>
          <w:szCs w:val="22"/>
        </w:rPr>
        <w:t>Κοτσικώνας</w:t>
      </w:r>
      <w:proofErr w:type="spellEnd"/>
      <w:r>
        <w:rPr>
          <w:rFonts w:ascii="Arial" w:eastAsia="Bookman Old Style" w:hAnsi="Arial" w:cs="Arial"/>
          <w:bCs/>
          <w:sz w:val="22"/>
          <w:szCs w:val="22"/>
        </w:rPr>
        <w:t xml:space="preserve"> Επαμεινώνδας, 2)</w:t>
      </w:r>
      <w:proofErr w:type="spellStart"/>
      <w:r>
        <w:rPr>
          <w:rFonts w:ascii="Arial" w:eastAsia="Bookman Old Style" w:hAnsi="Arial" w:cs="Arial"/>
          <w:bCs/>
          <w:sz w:val="22"/>
          <w:szCs w:val="22"/>
        </w:rPr>
        <w:t>Αρκουμάνης</w:t>
      </w:r>
      <w:proofErr w:type="spellEnd"/>
      <w:r>
        <w:rPr>
          <w:rFonts w:ascii="Arial" w:eastAsia="Bookman Old Style" w:hAnsi="Arial" w:cs="Arial"/>
          <w:bCs/>
          <w:sz w:val="22"/>
          <w:szCs w:val="22"/>
        </w:rPr>
        <w:t xml:space="preserve"> Πέτρος, 3) </w:t>
      </w:r>
      <w:proofErr w:type="spellStart"/>
      <w:r>
        <w:rPr>
          <w:rFonts w:ascii="Arial" w:eastAsia="Bookman Old Style" w:hAnsi="Arial" w:cs="Arial"/>
          <w:bCs/>
          <w:sz w:val="22"/>
          <w:szCs w:val="22"/>
        </w:rPr>
        <w:t>Μπράλιος</w:t>
      </w:r>
      <w:proofErr w:type="spellEnd"/>
      <w:r>
        <w:rPr>
          <w:rFonts w:ascii="Arial" w:eastAsia="Bookman Old Style" w:hAnsi="Arial" w:cs="Arial"/>
          <w:bCs/>
          <w:sz w:val="22"/>
          <w:szCs w:val="22"/>
        </w:rPr>
        <w:t xml:space="preserve"> Νικόλαος 4) </w:t>
      </w:r>
      <w:proofErr w:type="spellStart"/>
      <w:r>
        <w:rPr>
          <w:rFonts w:ascii="Arial" w:eastAsia="Bookman Old Style" w:hAnsi="Arial" w:cs="Arial"/>
          <w:bCs/>
          <w:sz w:val="22"/>
          <w:szCs w:val="22"/>
        </w:rPr>
        <w:t>Τσιφής</w:t>
      </w:r>
      <w:proofErr w:type="spellEnd"/>
      <w:r>
        <w:rPr>
          <w:rFonts w:ascii="Arial" w:eastAsia="Bookman Old Style" w:hAnsi="Arial" w:cs="Arial"/>
          <w:bCs/>
          <w:sz w:val="22"/>
          <w:szCs w:val="22"/>
        </w:rPr>
        <w:t xml:space="preserve"> Δημήτριος. </w:t>
      </w:r>
    </w:p>
    <w:p w:rsidR="002F5BA3" w:rsidRDefault="002F5BA3" w:rsidP="002F5BA3">
      <w:pPr>
        <w:pStyle w:val="a5"/>
        <w:spacing w:line="276" w:lineRule="auto"/>
        <w:jc w:val="both"/>
        <w:rPr>
          <w:rStyle w:val="af0"/>
          <w:rFonts w:eastAsia="SimSun" w:cs="Arial"/>
          <w:b w:val="0"/>
          <w:bCs w:val="0"/>
          <w:iCs/>
          <w:kern w:val="2"/>
          <w:szCs w:val="22"/>
          <w:highlight w:val="white"/>
          <w:lang w:bidi="hi-IN"/>
        </w:rPr>
      </w:pPr>
      <w:r>
        <w:rPr>
          <w:rStyle w:val="af0"/>
          <w:rFonts w:eastAsia="SimSun" w:cs="Arial"/>
          <w:iCs/>
          <w:kern w:val="2"/>
          <w:szCs w:val="22"/>
          <w:shd w:val="clear" w:color="auto" w:fill="FFFFFF"/>
          <w:lang w:bidi="hi-IN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D83A95" w:rsidRDefault="00D83A95" w:rsidP="00FE4ECD">
      <w:pPr>
        <w:widowControl w:val="0"/>
        <w:tabs>
          <w:tab w:val="center" w:pos="8460"/>
        </w:tabs>
        <w:suppressAutoHyphens/>
        <w:spacing w:line="360" w:lineRule="auto"/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B97418" w:rsidRDefault="00B97418" w:rsidP="00FE4ECD">
      <w:pPr>
        <w:widowControl w:val="0"/>
        <w:tabs>
          <w:tab w:val="center" w:pos="8460"/>
        </w:tabs>
        <w:suppressAutoHyphens/>
        <w:spacing w:line="360" w:lineRule="auto"/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 w:rsidRPr="00E72491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 w:rsidRPr="00E72491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917CAF" w:rsidRPr="00E72491">
        <w:rPr>
          <w:rFonts w:ascii="Arial" w:eastAsia="Arial" w:hAnsi="Arial" w:cs="Arial"/>
          <w:b/>
          <w:bCs/>
          <w:iCs/>
          <w:sz w:val="22"/>
          <w:szCs w:val="22"/>
        </w:rPr>
        <w:t>8</w:t>
      </w:r>
      <w:r w:rsidR="002F5BA3">
        <w:rPr>
          <w:rFonts w:ascii="Arial" w:eastAsia="Arial" w:hAnsi="Arial" w:cs="Arial"/>
          <w:b/>
          <w:bCs/>
          <w:iCs/>
          <w:sz w:val="22"/>
          <w:szCs w:val="22"/>
        </w:rPr>
        <w:t>7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bCs/>
          <w:color w:val="00000A"/>
          <w:szCs w:val="22"/>
        </w:rPr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FE4ECD" w:rsidRDefault="00FE4ECD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E72491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p w:rsidR="00E72491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FE4ECD" w:rsidTr="00FE4ECD">
        <w:tc>
          <w:tcPr>
            <w:tcW w:w="992" w:type="dxa"/>
          </w:tcPr>
          <w:p w:rsidR="00FE4ECD" w:rsidRDefault="00FE4ECD" w:rsidP="00FD1BE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FE4ECD" w:rsidRPr="00D30514" w:rsidRDefault="00FE4ECD" w:rsidP="00FD1BED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FE4ECD" w:rsidRDefault="00FE4ECD" w:rsidP="00FD1BE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FE4ECD" w:rsidRPr="00DC0BD8" w:rsidRDefault="00FE4ECD" w:rsidP="00FD1BED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FE4ECD" w:rsidRPr="00DC0BD8" w:rsidRDefault="00FE4ECD" w:rsidP="00FD1BED"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F5BA3" w:rsidRPr="00DC0BD8" w:rsidTr="00FE4ECD">
        <w:tc>
          <w:tcPr>
            <w:tcW w:w="992" w:type="dxa"/>
          </w:tcPr>
          <w:p w:rsidR="002F5BA3" w:rsidRDefault="002F5BA3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2F5BA3" w:rsidRPr="00DC0BD8" w:rsidRDefault="002F5BA3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πέτρος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2F5BA3" w:rsidRPr="00DC0BD8" w:rsidRDefault="002F5BA3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2F5BA3" w:rsidRDefault="00FE4ECD" w:rsidP="002F5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F5BA3">
              <w:rPr>
                <w:rFonts w:ascii="Arial" w:hAnsi="Arial" w:cs="Arial"/>
                <w:sz w:val="22"/>
                <w:szCs w:val="22"/>
              </w:rPr>
              <w:t>1</w:t>
            </w:r>
            <w:r w:rsidR="002F5BA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2F5BA3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2F5BA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5B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E72491">
      <w:pPr>
        <w:spacing w:line="360" w:lineRule="auto"/>
        <w:jc w:val="both"/>
        <w:rPr>
          <w:rFonts w:ascii="Calibri" w:hAnsi="Calibri" w:cs="Calibri"/>
          <w:sz w:val="24"/>
        </w:rPr>
      </w:pPr>
    </w:p>
    <w:p w:rsidR="00E72491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E72491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0D3" w:rsidRDefault="007830D3">
      <w:r>
        <w:separator/>
      </w:r>
    </w:p>
  </w:endnote>
  <w:endnote w:type="continuationSeparator" w:id="0">
    <w:p w:rsidR="007830D3" w:rsidRDefault="0078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E30828">
    <w:pPr>
      <w:pStyle w:val="a3"/>
      <w:jc w:val="center"/>
    </w:pPr>
    <w:fldSimple w:instr=" PAGE   \* MERGEFORMAT ">
      <w:r w:rsidR="00B523F5">
        <w:rPr>
          <w:noProof/>
        </w:rPr>
        <w:t>7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0D3" w:rsidRDefault="007830D3">
      <w:r>
        <w:separator/>
      </w:r>
    </w:p>
  </w:footnote>
  <w:footnote w:type="continuationSeparator" w:id="0">
    <w:p w:rsidR="007830D3" w:rsidRDefault="00783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A14CA"/>
    <w:multiLevelType w:val="hybridMultilevel"/>
    <w:tmpl w:val="216CB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E5278"/>
    <w:multiLevelType w:val="hybridMultilevel"/>
    <w:tmpl w:val="B052DBCC"/>
    <w:lvl w:ilvl="0" w:tplc="A16AF536">
      <w:start w:val="1"/>
      <w:numFmt w:val="upperRoman"/>
      <w:lvlText w:val="%1."/>
      <w:lvlJc w:val="right"/>
      <w:pPr>
        <w:ind w:left="76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4"/>
  </w:num>
  <w:num w:numId="14">
    <w:abstractNumId w:val="6"/>
  </w:num>
  <w:num w:numId="15">
    <w:abstractNumId w:val="18"/>
  </w:num>
  <w:num w:numId="16">
    <w:abstractNumId w:val="10"/>
  </w:num>
  <w:num w:numId="17">
    <w:abstractNumId w:val="17"/>
  </w:num>
  <w:num w:numId="18">
    <w:abstractNumId w:val="4"/>
  </w:num>
  <w:num w:numId="19">
    <w:abstractNumId w:val="20"/>
  </w:num>
  <w:num w:numId="20">
    <w:abstractNumId w:val="0"/>
  </w:num>
  <w:num w:numId="21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27F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35E64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946F8"/>
    <w:rsid w:val="001A091D"/>
    <w:rsid w:val="001A0D36"/>
    <w:rsid w:val="001B1A92"/>
    <w:rsid w:val="001B4CC7"/>
    <w:rsid w:val="001B7BD0"/>
    <w:rsid w:val="001C0F9B"/>
    <w:rsid w:val="001C104F"/>
    <w:rsid w:val="001C761D"/>
    <w:rsid w:val="001D25E5"/>
    <w:rsid w:val="001D2A84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49EF"/>
    <w:rsid w:val="003A63E7"/>
    <w:rsid w:val="003B7C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2259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699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D2737"/>
    <w:rsid w:val="006D2EC4"/>
    <w:rsid w:val="006D2EE8"/>
    <w:rsid w:val="006D3C55"/>
    <w:rsid w:val="006D79EB"/>
    <w:rsid w:val="006E080F"/>
    <w:rsid w:val="006E2438"/>
    <w:rsid w:val="006E2A79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3D9F"/>
    <w:rsid w:val="007741D4"/>
    <w:rsid w:val="0077565C"/>
    <w:rsid w:val="00776082"/>
    <w:rsid w:val="00780685"/>
    <w:rsid w:val="00780AE9"/>
    <w:rsid w:val="007827A8"/>
    <w:rsid w:val="00782B22"/>
    <w:rsid w:val="007830D3"/>
    <w:rsid w:val="00785A25"/>
    <w:rsid w:val="007860E2"/>
    <w:rsid w:val="00791C9F"/>
    <w:rsid w:val="0079368C"/>
    <w:rsid w:val="00795419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571D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CBC"/>
    <w:rsid w:val="00835D34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C7D8B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1490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23F5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B750D"/>
    <w:rsid w:val="00BC47F0"/>
    <w:rsid w:val="00BC489A"/>
    <w:rsid w:val="00BC5166"/>
    <w:rsid w:val="00BC6349"/>
    <w:rsid w:val="00BC734D"/>
    <w:rsid w:val="00BD5748"/>
    <w:rsid w:val="00BE1909"/>
    <w:rsid w:val="00BE261A"/>
    <w:rsid w:val="00BE2BB8"/>
    <w:rsid w:val="00BE44A7"/>
    <w:rsid w:val="00BE5C5E"/>
    <w:rsid w:val="00BE73BC"/>
    <w:rsid w:val="00BF2811"/>
    <w:rsid w:val="00BF51D7"/>
    <w:rsid w:val="00BF5F65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A7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2174"/>
    <w:rsid w:val="00CC3C52"/>
    <w:rsid w:val="00CC5A05"/>
    <w:rsid w:val="00CC78CB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2B62"/>
    <w:rsid w:val="00CF3214"/>
    <w:rsid w:val="00CF5582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3A95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149B0"/>
    <w:rsid w:val="00E21EB3"/>
    <w:rsid w:val="00E22BD2"/>
    <w:rsid w:val="00E254BC"/>
    <w:rsid w:val="00E2709E"/>
    <w:rsid w:val="00E307D9"/>
    <w:rsid w:val="00E30828"/>
    <w:rsid w:val="00E30CA0"/>
    <w:rsid w:val="00E313AA"/>
    <w:rsid w:val="00E32C3B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79F"/>
    <w:rsid w:val="00E6687A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4DC7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769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186"/>
    <w:rsid w:val="00F2078B"/>
    <w:rsid w:val="00F21261"/>
    <w:rsid w:val="00F24A14"/>
    <w:rsid w:val="00F27BF9"/>
    <w:rsid w:val="00F32013"/>
    <w:rsid w:val="00F3342E"/>
    <w:rsid w:val="00F34243"/>
    <w:rsid w:val="00F36EFC"/>
    <w:rsid w:val="00F4089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3080"/>
    <w:rsid w:val="00FD67FF"/>
    <w:rsid w:val="00FD7850"/>
    <w:rsid w:val="00FE0E4D"/>
    <w:rsid w:val="00FE2151"/>
    <w:rsid w:val="00FE457D"/>
    <w:rsid w:val="00FE4ECD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0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E97070-4BD2-40DC-8F49-1088B7B8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2385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2020-11-19T08:16:00Z</cp:lastPrinted>
  <dcterms:created xsi:type="dcterms:W3CDTF">2020-12-01T07:36:00Z</dcterms:created>
  <dcterms:modified xsi:type="dcterms:W3CDTF">2020-12-07T09:48:00Z</dcterms:modified>
</cp:coreProperties>
</file>