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>
        <w:rPr>
          <w:rFonts w:ascii="Arial" w:eastAsia="Calibri" w:hAnsi="Arial" w:cs="Arial"/>
          <w:b/>
          <w:bCs/>
          <w:i/>
          <w:iCs/>
          <w:position w:val="2"/>
        </w:rPr>
        <w:t xml:space="preserve"> </w:t>
      </w:r>
    </w:p>
    <w:p w:rsidR="009222C6" w:rsidRPr="008D072D" w:rsidRDefault="009222C6" w:rsidP="009222C6">
      <w:r>
        <w:rPr>
          <w:rFonts w:ascii="Arial" w:eastAsia="Arial" w:hAnsi="Arial" w:cs="Arial"/>
          <w:b/>
          <w:bCs/>
          <w:i/>
          <w:iCs/>
          <w:position w:val="2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bCs/>
          <w:position w:val="2"/>
        </w:rPr>
        <w:t>ΑΡΙΘΜ ΠΡΩΤ:</w:t>
      </w:r>
      <w:r w:rsidR="00FA58F7">
        <w:rPr>
          <w:rFonts w:ascii="Arial" w:eastAsia="Calibri" w:hAnsi="Arial" w:cs="Arial"/>
          <w:b/>
          <w:bCs/>
          <w:position w:val="2"/>
        </w:rPr>
        <w:t>18418</w:t>
      </w:r>
      <w:r w:rsidR="00577349">
        <w:rPr>
          <w:rFonts w:ascii="Arial" w:eastAsia="Calibri" w:hAnsi="Arial" w:cs="Arial"/>
          <w:b/>
          <w:bCs/>
          <w:position w:val="2"/>
        </w:rPr>
        <w:t xml:space="preserve"> </w:t>
      </w:r>
      <w:r w:rsidR="008D072D" w:rsidRPr="008D072D">
        <w:rPr>
          <w:rFonts w:ascii="Arial" w:eastAsia="Calibri" w:hAnsi="Arial" w:cs="Arial"/>
          <w:b/>
          <w:bCs/>
          <w:position w:val="2"/>
        </w:rPr>
        <w:t xml:space="preserve">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Pr="001606E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577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</w:t>
      </w:r>
      <w:r w:rsidR="00FA58F7">
        <w:rPr>
          <w:rFonts w:ascii="Arial" w:eastAsia="Arial" w:hAnsi="Arial" w:cs="Arial"/>
          <w:b/>
          <w:bCs/>
          <w:position w:val="2"/>
          <w:sz w:val="22"/>
          <w:szCs w:val="22"/>
        </w:rPr>
        <w:t>18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="008D072D" w:rsidRPr="008D072D">
        <w:rPr>
          <w:rFonts w:ascii="Arial" w:eastAsia="Arial" w:hAnsi="Arial" w:cs="Arial"/>
          <w:b/>
          <w:bCs/>
          <w:position w:val="2"/>
          <w:sz w:val="22"/>
          <w:szCs w:val="22"/>
        </w:rPr>
        <w:t>9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9222C6">
      <w:pPr>
        <w:pStyle w:val="a9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8310E0">
        <w:rPr>
          <w:rFonts w:ascii="Arial" w:hAnsi="Arial" w:cs="Arial"/>
          <w:sz w:val="22"/>
          <w:szCs w:val="22"/>
        </w:rPr>
        <w:t>1</w:t>
      </w:r>
      <w:r w:rsidR="0074663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ης Τακτικής Συνεδρίασης-</w:t>
      </w:r>
      <w:r w:rsidR="008310E0">
        <w:rPr>
          <w:rFonts w:ascii="Arial" w:hAnsi="Arial" w:cs="Arial"/>
          <w:sz w:val="22"/>
          <w:szCs w:val="22"/>
        </w:rPr>
        <w:t>ΚΕΚΛΕΙΣΜΕΝΩΝ ΤΩΝ ΘΥΡΩΝ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Pr="006D2EE8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 xml:space="preserve"> </w:t>
      </w:r>
      <w:r w:rsidR="0057734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</w:t>
      </w:r>
      <w:r w:rsidR="008D072D" w:rsidRPr="008D072D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51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shd w:val="clear" w:color="auto" w:fill="FFFFFF"/>
          <w:lang w:bidi="hi-IN"/>
        </w:rPr>
        <w:t xml:space="preserve"> </w:t>
      </w:r>
    </w:p>
    <w:p w:rsidR="006D2EE8" w:rsidRPr="003F571E" w:rsidRDefault="009222C6" w:rsidP="006D2EE8">
      <w:pPr>
        <w:tabs>
          <w:tab w:val="left" w:pos="6237"/>
        </w:tabs>
        <w:snapToGrid w:val="0"/>
        <w:ind w:left="-9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lang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lang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bidi="hi-IN"/>
        </w:rPr>
        <w:t>ΘΕΜΑ</w:t>
      </w:r>
      <w:r w:rsidRPr="0074663B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lang w:bidi="hi-IN"/>
        </w:rPr>
        <w:t xml:space="preserve">: </w:t>
      </w:r>
      <w:proofErr w:type="spellStart"/>
      <w:r w:rsidR="006D2EE8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bidi="hi-IN"/>
        </w:rPr>
        <w:t>΄</w:t>
      </w:r>
      <w:r w:rsidR="006D2EE8" w:rsidRPr="003F571E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lang w:bidi="hi-IN"/>
        </w:rPr>
        <w:t>Εγκριση</w:t>
      </w:r>
      <w:proofErr w:type="spellEnd"/>
      <w:r w:rsidR="006D2EE8" w:rsidRPr="003F571E">
        <w:rPr>
          <w:rFonts w:ascii="Arial" w:eastAsia="Calibri" w:hAnsi="Arial" w:cs="Arial"/>
          <w:b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r w:rsidR="006D2EE8">
        <w:rPr>
          <w:rFonts w:ascii="Arial" w:eastAsia="Calibri" w:hAnsi="Arial" w:cs="Arial"/>
          <w:b/>
          <w:spacing w:val="-3"/>
          <w:sz w:val="22"/>
          <w:szCs w:val="22"/>
          <w:highlight w:val="white"/>
          <w:shd w:val="clear" w:color="auto" w:fill="FFFFFF"/>
        </w:rPr>
        <w:t>1</w:t>
      </w:r>
      <w:r w:rsidR="008D072D" w:rsidRPr="008D072D">
        <w:rPr>
          <w:rFonts w:ascii="Arial" w:eastAsia="Calibri" w:hAnsi="Arial" w:cs="Arial"/>
          <w:b/>
          <w:spacing w:val="-3"/>
          <w:sz w:val="22"/>
          <w:szCs w:val="22"/>
          <w:highlight w:val="white"/>
          <w:shd w:val="clear" w:color="auto" w:fill="FFFFFF"/>
        </w:rPr>
        <w:t>4</w:t>
      </w:r>
      <w:r w:rsidR="006D2EE8" w:rsidRPr="003F571E">
        <w:rPr>
          <w:rStyle w:val="FontStyle17"/>
          <w:rFonts w:ascii="Arial" w:eastAsia="Calibri" w:hAnsi="Arial" w:cs="Arial"/>
          <w:b/>
          <w:spacing w:val="-3"/>
          <w:shd w:val="clear" w:color="auto" w:fill="FFFFFF"/>
        </w:rPr>
        <w:t xml:space="preserve">ης Αναμόρφωσης προϋπολογισμού τρέχουσας χρήσης </w:t>
      </w:r>
      <w:r w:rsidR="006D2EE8" w:rsidRPr="003F571E">
        <w:rPr>
          <w:b/>
        </w:rPr>
        <w:t xml:space="preserve"> </w:t>
      </w:r>
      <w:r w:rsidR="006D2EE8">
        <w:rPr>
          <w:b/>
        </w:rPr>
        <w:t>.</w:t>
      </w:r>
    </w:p>
    <w:p w:rsidR="006D2EE8" w:rsidRPr="00C26464" w:rsidRDefault="006D2EE8" w:rsidP="006D2EE8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  <w:b/>
          <w:sz w:val="22"/>
          <w:szCs w:val="22"/>
        </w:rPr>
      </w:pPr>
    </w:p>
    <w:p w:rsidR="009222C6" w:rsidRDefault="009222C6" w:rsidP="006D2EE8">
      <w:pPr>
        <w:spacing w:line="360" w:lineRule="auto"/>
        <w:ind w:left="-9"/>
        <w:jc w:val="both"/>
        <w:rPr>
          <w:rFonts w:ascii="Arial" w:hAnsi="Arial" w:cs="Arial"/>
        </w:rPr>
      </w:pPr>
    </w:p>
    <w:p w:rsidR="008310E0" w:rsidRDefault="008310E0" w:rsidP="008310E0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Στη Λιβαδειά σήμερα την </w:t>
      </w:r>
      <w:r w:rsidR="008D072D" w:rsidRPr="008D072D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1</w:t>
      </w:r>
      <w:r w:rsidR="0074663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6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η </w:t>
      </w:r>
      <w:r w:rsidR="008D072D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Σεπτεμβρί</w:t>
      </w:r>
      <w:r w:rsidR="0074663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ώρα 1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9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:00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μ.μ</w:t>
      </w:r>
      <w:proofErr w:type="spellEnd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1</w:t>
      </w:r>
      <w:r w:rsidR="008D072D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799</w:t>
      </w:r>
      <w:r w:rsidR="0074663B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3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/</w:t>
      </w:r>
      <w:r w:rsidR="008D072D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1</w:t>
      </w:r>
      <w:r w:rsidR="0074663B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1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-0</w:t>
      </w:r>
      <w:r w:rsidR="008D072D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9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Αλέξανδρου,   η οποία  επιδόθηκε ηλεκτρονικά  σε κάθε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lastRenderedPageBreak/>
        <w:t>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8310E0" w:rsidRDefault="008310E0" w:rsidP="008310E0">
      <w:pPr>
        <w:spacing w:before="6" w:after="6" w:line="320" w:lineRule="atLeast"/>
        <w:ind w:left="357"/>
        <w:jc w:val="both"/>
      </w:pPr>
    </w:p>
    <w:p w:rsidR="008310E0" w:rsidRDefault="008310E0" w:rsidP="008310E0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="008D072D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30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F03BF0" w:rsidRDefault="00F03BF0" w:rsidP="004914D6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</w:p>
    <w:p w:rsidR="004914D6" w:rsidRDefault="004914D6" w:rsidP="004914D6">
      <w:pPr>
        <w:tabs>
          <w:tab w:val="left" w:pos="6237"/>
        </w:tabs>
        <w:snapToGrid w:val="0"/>
        <w:spacing w:before="57" w:after="57" w:line="360" w:lineRule="auto"/>
        <w:ind w:left="113"/>
      </w:pPr>
    </w:p>
    <w:p w:rsidR="004914D6" w:rsidRDefault="004914D6" w:rsidP="004914D6">
      <w:pPr>
        <w:tabs>
          <w:tab w:val="left" w:pos="6237"/>
        </w:tabs>
        <w:snapToGrid w:val="0"/>
        <w:spacing w:before="57" w:after="57"/>
        <w:ind w:left="113"/>
      </w:pP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5528"/>
        <w:gridCol w:w="404"/>
        <w:gridCol w:w="3616"/>
      </w:tblGrid>
      <w:tr w:rsidR="008D072D" w:rsidRPr="00746227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ind w:right="-622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ind w:left="-77" w:right="-196"/>
              <w:jc w:val="center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8D072D" w:rsidRPr="00746227" w:rsidRDefault="008D072D" w:rsidP="008D072D">
            <w:pPr>
              <w:tabs>
                <w:tab w:val="left" w:pos="718"/>
              </w:tabs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  <w:r>
              <w:t>2</w:t>
            </w: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</w:pPr>
          </w:p>
        </w:tc>
      </w:tr>
      <w:tr w:rsidR="008D072D" w:rsidRPr="00763543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Pr="00763543" w:rsidRDefault="008D072D" w:rsidP="008D072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0A35DF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</w:t>
            </w:r>
            <w:r w:rsidR="000A35DF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A35DF" w:rsidRPr="000A35DF">
              <w:rPr>
                <w:rFonts w:ascii="Arial" w:hAnsi="Arial" w:cs="Arial"/>
                <w:sz w:val="22"/>
                <w:szCs w:val="22"/>
              </w:rPr>
              <w:t>Απούσα 4-8 ΘΗΔ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="00431DAF" w:rsidRPr="000A35DF">
              <w:rPr>
                <w:rFonts w:ascii="Arial" w:hAnsi="Arial" w:cs="Arial"/>
                <w:sz w:val="22"/>
                <w:szCs w:val="22"/>
              </w:rPr>
              <w:t>Απών 1-8 ΘΗΔ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431DAF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</w:t>
            </w:r>
            <w:r w:rsidR="00431D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A35DF" w:rsidRPr="000A35DF">
              <w:rPr>
                <w:rFonts w:ascii="Arial" w:hAnsi="Arial" w:cs="Arial"/>
                <w:sz w:val="22"/>
                <w:szCs w:val="22"/>
              </w:rPr>
              <w:t>Απών 1-8 ΘΗΔ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0A35DF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  <w:r w:rsidR="000A35DF" w:rsidRPr="000A35DF">
              <w:rPr>
                <w:rFonts w:ascii="Arial" w:hAnsi="Arial" w:cs="Arial"/>
                <w:sz w:val="22"/>
                <w:szCs w:val="22"/>
              </w:rPr>
              <w:t>Απ</w:t>
            </w:r>
            <w:r w:rsidR="000A35DF">
              <w:rPr>
                <w:rFonts w:ascii="Arial" w:hAnsi="Arial" w:cs="Arial"/>
                <w:sz w:val="22"/>
                <w:szCs w:val="22"/>
              </w:rPr>
              <w:t>ούσα</w:t>
            </w:r>
            <w:r w:rsidR="000A35DF" w:rsidRPr="000A35DF">
              <w:rPr>
                <w:rFonts w:ascii="Arial" w:hAnsi="Arial" w:cs="Arial"/>
                <w:sz w:val="22"/>
                <w:szCs w:val="22"/>
              </w:rPr>
              <w:t xml:space="preserve"> 1-8 ΘΗΔ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672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  <w:r w:rsidR="000A35D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A35DF" w:rsidRPr="000A35DF">
              <w:rPr>
                <w:rFonts w:ascii="Arial" w:hAnsi="Arial" w:cs="Arial"/>
                <w:sz w:val="22"/>
                <w:szCs w:val="22"/>
              </w:rPr>
              <w:t>Απών 1-8 ΘΗΔ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672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D2EE8" w:rsidRPr="003165A7" w:rsidRDefault="006D2EE8" w:rsidP="008A7C07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</w:pPr>
      <w:r w:rsidRPr="006D2EE8">
        <w:rPr>
          <w:rFonts w:eastAsia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Εισηγούμενος το  2</w:t>
      </w:r>
      <w:r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8D072D" w:rsidRPr="008A7C07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Pr="008A7C07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057DDC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ο Πρόεδρος  έθεσε υπόψη των μελών του Δημοτικού </w:t>
      </w:r>
      <w:r w:rsidRPr="008A7C07">
        <w:rPr>
          <w:rFonts w:ascii="Arial" w:hAnsi="Arial" w:cs="Arial"/>
          <w:sz w:val="22"/>
          <w:szCs w:val="22"/>
        </w:rPr>
        <w:t xml:space="preserve">  Συμβουλίου</w:t>
      </w:r>
      <w:r w:rsidRPr="008A7C07">
        <w:rPr>
          <w:rFonts w:ascii="Arial" w:hAnsi="Arial" w:cs="Arial"/>
          <w:i/>
          <w:sz w:val="22"/>
          <w:szCs w:val="22"/>
        </w:rPr>
        <w:t xml:space="preserve"> </w:t>
      </w:r>
      <w:r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την υπ </w:t>
      </w:r>
      <w:proofErr w:type="spellStart"/>
      <w:r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αριθμ</w:t>
      </w:r>
      <w:proofErr w:type="spellEnd"/>
      <w:r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8D072D"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2</w:t>
      </w:r>
      <w:r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19/2020 (ΑΔΑ:</w:t>
      </w:r>
      <w:r w:rsidR="005D4E2D"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6ΣΒΑ</w:t>
      </w:r>
      <w:r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ΩΛΗ-Ξ</w:t>
      </w:r>
      <w:r w:rsidR="005D4E2D"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ΤΦ</w:t>
      </w:r>
      <w:r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) Απόφαση της Οικονομικής Επιτροπής,  </w:t>
      </w:r>
      <w:r w:rsidR="003165A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σύμφωνα </w:t>
      </w:r>
      <w:r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με την οποία   εισηγείται στο Δημοτικό Συμβούλιο την αναμόρφωση του </w:t>
      </w:r>
      <w:r w:rsidR="003165A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προϋπολογισμού τρέχουσας χρήσης </w:t>
      </w:r>
      <w:r w:rsidR="003165A7" w:rsidRPr="003165A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3165A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και συγκεκριμένα </w:t>
      </w:r>
    </w:p>
    <w:p w:rsidR="003165A7" w:rsidRDefault="003165A7" w:rsidP="003165A7">
      <w:pPr>
        <w:spacing w:line="360" w:lineRule="auto"/>
      </w:pPr>
      <w:r>
        <w:rPr>
          <w:rFonts w:ascii="Arial" w:hAnsi="Arial" w:cs="Arial"/>
          <w:sz w:val="22"/>
          <w:szCs w:val="22"/>
        </w:rPr>
        <w:t>1. Αυξάνονται τα έσοδα κατά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3165A7">
        <w:rPr>
          <w:rFonts w:ascii="Arial" w:hAnsi="Arial" w:cs="Arial"/>
          <w:b/>
          <w:bCs/>
          <w:sz w:val="22"/>
          <w:szCs w:val="22"/>
        </w:rPr>
        <w:t>303.</w:t>
      </w:r>
      <w:r>
        <w:rPr>
          <w:rFonts w:ascii="Arial" w:hAnsi="Arial" w:cs="Arial"/>
          <w:b/>
          <w:bCs/>
          <w:sz w:val="22"/>
          <w:szCs w:val="22"/>
        </w:rPr>
        <w:t>164</w:t>
      </w:r>
      <w:r w:rsidRPr="003165A7">
        <w:rPr>
          <w:rFonts w:ascii="Arial" w:hAnsi="Arial" w:cs="Arial"/>
          <w:b/>
          <w:bCs/>
          <w:sz w:val="22"/>
          <w:szCs w:val="22"/>
        </w:rPr>
        <w:t xml:space="preserve">,00 </w:t>
      </w:r>
      <w:r>
        <w:rPr>
          <w:rFonts w:ascii="Arial" w:hAnsi="Arial" w:cs="Arial"/>
          <w:b/>
          <w:bCs/>
          <w:sz w:val="22"/>
          <w:szCs w:val="22"/>
        </w:rPr>
        <w:t xml:space="preserve">€  </w:t>
      </w:r>
    </w:p>
    <w:p w:rsidR="003165A7" w:rsidRDefault="003165A7" w:rsidP="003165A7">
      <w:pPr>
        <w:spacing w:line="360" w:lineRule="auto"/>
      </w:pPr>
      <w:r>
        <w:rPr>
          <w:rFonts w:ascii="Arial" w:hAnsi="Arial" w:cs="Arial"/>
          <w:sz w:val="22"/>
          <w:szCs w:val="22"/>
        </w:rPr>
        <w:t>2.  Αυξάνονται τα έξοδα κατά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3165A7">
        <w:rPr>
          <w:rFonts w:ascii="Arial" w:hAnsi="Arial" w:cs="Arial"/>
          <w:b/>
          <w:bCs/>
          <w:sz w:val="22"/>
          <w:szCs w:val="22"/>
        </w:rPr>
        <w:t>341.474.40</w:t>
      </w:r>
      <w:r>
        <w:rPr>
          <w:rFonts w:ascii="Arial" w:hAnsi="Arial" w:cs="Arial"/>
          <w:b/>
          <w:bCs/>
          <w:sz w:val="22"/>
          <w:szCs w:val="22"/>
        </w:rPr>
        <w:t>€</w:t>
      </w:r>
    </w:p>
    <w:p w:rsidR="003165A7" w:rsidRDefault="003165A7" w:rsidP="003165A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.Τ</w:t>
      </w:r>
      <w:r w:rsidRPr="00763543">
        <w:rPr>
          <w:rFonts w:ascii="Arial" w:hAnsi="Arial" w:cs="Arial"/>
          <w:sz w:val="22"/>
          <w:szCs w:val="22"/>
        </w:rPr>
        <w:t>ο</w:t>
      </w:r>
      <w:r w:rsidRPr="00763543">
        <w:rPr>
          <w:rFonts w:ascii="Arial" w:hAnsi="Arial" w:cs="Arial"/>
          <w:bCs/>
          <w:sz w:val="22"/>
          <w:szCs w:val="22"/>
        </w:rPr>
        <w:t xml:space="preserve">   αποθεματικό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μειώνεται  κατά </w:t>
      </w:r>
      <w:r w:rsidRPr="003165A7">
        <w:rPr>
          <w:rFonts w:ascii="Arial" w:hAnsi="Arial" w:cs="Arial"/>
          <w:sz w:val="22"/>
          <w:szCs w:val="22"/>
        </w:rPr>
        <w:t>38.</w:t>
      </w:r>
      <w:r>
        <w:rPr>
          <w:rFonts w:ascii="Arial" w:hAnsi="Arial" w:cs="Arial"/>
          <w:sz w:val="22"/>
          <w:szCs w:val="22"/>
        </w:rPr>
        <w:t>310</w:t>
      </w:r>
      <w:r w:rsidRPr="003165A7">
        <w:rPr>
          <w:rFonts w:ascii="Arial" w:hAnsi="Arial" w:cs="Arial"/>
          <w:sz w:val="22"/>
          <w:szCs w:val="22"/>
        </w:rPr>
        <w:t xml:space="preserve">,40 </w:t>
      </w:r>
      <w:r>
        <w:rPr>
          <w:rFonts w:ascii="Arial" w:hAnsi="Arial" w:cs="Arial"/>
          <w:sz w:val="22"/>
          <w:szCs w:val="22"/>
        </w:rPr>
        <w:t xml:space="preserve">€ και διαμορφώνεται   </w:t>
      </w:r>
      <w:r w:rsidRPr="00763543">
        <w:rPr>
          <w:rFonts w:ascii="Arial" w:hAnsi="Arial" w:cs="Arial"/>
          <w:bCs/>
          <w:sz w:val="22"/>
          <w:szCs w:val="22"/>
        </w:rPr>
        <w:t>στα</w:t>
      </w:r>
      <w:r>
        <w:rPr>
          <w:rFonts w:ascii="Arial" w:hAnsi="Arial" w:cs="Arial"/>
          <w:b/>
          <w:bCs/>
          <w:sz w:val="22"/>
          <w:szCs w:val="22"/>
        </w:rPr>
        <w:t xml:space="preserve">  69.008,73</w:t>
      </w:r>
      <w:r w:rsidRPr="003165A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€.</w:t>
      </w:r>
    </w:p>
    <w:p w:rsidR="003165A7" w:rsidRPr="003165A7" w:rsidRDefault="003165A7" w:rsidP="003165A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3165A7" w:rsidRPr="003165A7" w:rsidRDefault="003165A7" w:rsidP="003165A7">
      <w:pPr>
        <w:spacing w:line="360" w:lineRule="auto"/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 w:rsidRPr="003165A7">
        <w:rPr>
          <w:rFonts w:ascii="Arial" w:hAnsi="Arial" w:cs="Arial"/>
          <w:bCs/>
          <w:sz w:val="22"/>
          <w:szCs w:val="22"/>
        </w:rPr>
        <w:lastRenderedPageBreak/>
        <w:t xml:space="preserve">4. </w:t>
      </w:r>
      <w:r w:rsidRPr="003165A7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Ο προϋπολογισμός 2020   ανέρχεται στα </w:t>
      </w:r>
      <w:r w:rsidRPr="003165A7"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27.329.246,03 € </w:t>
      </w:r>
      <w:r w:rsidRPr="003165A7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περιλαμβανομένου και του αποθεματικού και παραμένει ισοσκελισμένος σύμφωνα με την ΚΥΑ οικ.55905/29-7-2019.</w:t>
      </w:r>
    </w:p>
    <w:p w:rsidR="00862583" w:rsidRPr="003165A7" w:rsidRDefault="00862583" w:rsidP="00D6629F">
      <w:pPr>
        <w:pStyle w:val="western"/>
        <w:spacing w:after="113" w:line="276" w:lineRule="auto"/>
        <w:ind w:left="-142" w:right="-113"/>
        <w:jc w:val="both"/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</w:pPr>
      <w:r w:rsidRPr="003165A7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Ακολούθως το λόγο </w:t>
      </w:r>
      <w:r w:rsidR="00D6629F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έλαβε</w:t>
      </w:r>
      <w:r w:rsidR="006D2EE8" w:rsidRPr="003165A7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ο Δ/</w:t>
      </w:r>
      <w:proofErr w:type="spellStart"/>
      <w:r w:rsidR="006D2EE8" w:rsidRPr="003165A7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>ντής</w:t>
      </w:r>
      <w:proofErr w:type="spellEnd"/>
      <w:r w:rsidR="006D2EE8" w:rsidRPr="003165A7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Οικ</w:t>
      </w:r>
      <w:r w:rsidR="00057DDC" w:rsidRPr="003165A7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ονομικών Υπηρεσιών του Δήμου ο οποίος ζήτησε  στο σκέλος </w:t>
      </w:r>
      <w:r w:rsidRPr="003165A7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>“αύξηση εξόδων (</w:t>
      </w:r>
      <w:proofErr w:type="spellStart"/>
      <w:r w:rsidRPr="003165A7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>αριθμ</w:t>
      </w:r>
      <w:proofErr w:type="spellEnd"/>
      <w:r w:rsidRPr="003165A7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. 4)” </w:t>
      </w:r>
      <w:r w:rsidR="00057DDC" w:rsidRPr="003165A7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της αναμόρφωσης </w:t>
      </w:r>
      <w:r w:rsidRPr="003165A7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να </w:t>
      </w:r>
      <w:r w:rsidR="0082077E" w:rsidRPr="003165A7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προστεθεί </w:t>
      </w:r>
      <w:r w:rsidR="00E45F30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>ο παρακάτω</w:t>
      </w:r>
      <w:r w:rsidR="003F4D36" w:rsidRPr="003165A7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Κ.Α.</w:t>
      </w:r>
      <w:r w:rsidR="003165A7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3F4D36" w:rsidRPr="003165A7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με το</w:t>
      </w:r>
      <w:r w:rsidRPr="003165A7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ποσό </w:t>
      </w:r>
      <w:r w:rsidR="009C6AFB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των </w:t>
      </w:r>
      <w:r w:rsidRPr="003165A7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4.500,00 €  </w:t>
      </w:r>
      <w:r w:rsidR="003165A7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προκειμένου να </w:t>
      </w:r>
      <w:r w:rsidR="00E45F30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υλοποιηθεί </w:t>
      </w:r>
      <w:r w:rsidR="00D6629F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>η</w:t>
      </w:r>
      <w:r w:rsidR="003165A7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3165A7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προμήθεια ειδών ατομικής προστασίας </w:t>
      </w:r>
      <w:r w:rsidR="00E45F30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για τις </w:t>
      </w:r>
      <w:r w:rsidR="003F26C8" w:rsidRPr="003165A7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 ΙΔΟΧ</w:t>
      </w:r>
      <w:r w:rsidR="0082077E" w:rsidRPr="003165A7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proofErr w:type="spellStart"/>
      <w:r w:rsidR="003F4D36" w:rsidRPr="003165A7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>νεοπροσληφθείσες</w:t>
      </w:r>
      <w:proofErr w:type="spellEnd"/>
      <w:r w:rsidR="003F4D36" w:rsidRPr="003165A7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82077E" w:rsidRPr="003165A7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>καθαρίστριες</w:t>
      </w:r>
      <w:r w:rsidR="003F26C8" w:rsidRPr="003165A7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των σχολικών μονάδων του Δήμου</w:t>
      </w:r>
      <w:r w:rsidR="0082077E" w:rsidRPr="003165A7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tbl>
      <w:tblPr>
        <w:tblStyle w:val="af1"/>
        <w:tblW w:w="0" w:type="auto"/>
        <w:tblInd w:w="-142" w:type="dxa"/>
        <w:tblLook w:val="04A0"/>
      </w:tblPr>
      <w:tblGrid>
        <w:gridCol w:w="1327"/>
        <w:gridCol w:w="5088"/>
        <w:gridCol w:w="3015"/>
      </w:tblGrid>
      <w:tr w:rsidR="00862583" w:rsidRPr="003165A7" w:rsidTr="00E45F30">
        <w:tc>
          <w:tcPr>
            <w:tcW w:w="1327" w:type="dxa"/>
          </w:tcPr>
          <w:p w:rsidR="00862583" w:rsidRPr="003165A7" w:rsidRDefault="00862583" w:rsidP="00057DDC">
            <w:pPr>
              <w:pStyle w:val="western"/>
              <w:spacing w:before="113" w:after="113" w:line="276" w:lineRule="auto"/>
              <w:ind w:right="-113"/>
              <w:jc w:val="both"/>
              <w:rPr>
                <w:rStyle w:val="ae"/>
                <w:rFonts w:eastAsia="Arial"/>
                <w:i w:val="0"/>
                <w:kern w:val="1"/>
                <w:sz w:val="22"/>
                <w:szCs w:val="22"/>
                <w:shd w:val="clear" w:color="auto" w:fill="FFFFFF"/>
                <w:lang w:bidi="hi-IN"/>
              </w:rPr>
            </w:pPr>
            <w:r w:rsidRPr="003165A7">
              <w:rPr>
                <w:rStyle w:val="ae"/>
                <w:rFonts w:eastAsia="Arial"/>
                <w:i w:val="0"/>
                <w:kern w:val="1"/>
                <w:sz w:val="22"/>
                <w:szCs w:val="22"/>
                <w:shd w:val="clear" w:color="auto" w:fill="FFFFFF"/>
                <w:lang w:bidi="hi-IN"/>
              </w:rPr>
              <w:t>Κ.Α</w:t>
            </w:r>
          </w:p>
        </w:tc>
        <w:tc>
          <w:tcPr>
            <w:tcW w:w="5088" w:type="dxa"/>
          </w:tcPr>
          <w:p w:rsidR="00862583" w:rsidRPr="003165A7" w:rsidRDefault="003F26C8" w:rsidP="00057DDC">
            <w:pPr>
              <w:pStyle w:val="western"/>
              <w:spacing w:before="113" w:after="113" w:line="276" w:lineRule="auto"/>
              <w:ind w:right="-113"/>
              <w:jc w:val="both"/>
              <w:rPr>
                <w:rStyle w:val="ae"/>
                <w:rFonts w:eastAsia="Arial"/>
                <w:i w:val="0"/>
                <w:kern w:val="1"/>
                <w:sz w:val="22"/>
                <w:szCs w:val="22"/>
                <w:shd w:val="clear" w:color="auto" w:fill="FFFFFF"/>
                <w:lang w:bidi="hi-IN"/>
              </w:rPr>
            </w:pPr>
            <w:r w:rsidRPr="003165A7">
              <w:rPr>
                <w:rStyle w:val="ae"/>
                <w:rFonts w:eastAsia="Arial"/>
                <w:i w:val="0"/>
                <w:kern w:val="1"/>
                <w:sz w:val="22"/>
                <w:szCs w:val="22"/>
                <w:shd w:val="clear" w:color="auto" w:fill="FFFFFF"/>
                <w:lang w:bidi="hi-IN"/>
              </w:rPr>
              <w:t xml:space="preserve">  Τίτλος</w:t>
            </w:r>
          </w:p>
        </w:tc>
        <w:tc>
          <w:tcPr>
            <w:tcW w:w="3015" w:type="dxa"/>
          </w:tcPr>
          <w:p w:rsidR="00862583" w:rsidRPr="003165A7" w:rsidRDefault="00E45F30" w:rsidP="00057DDC">
            <w:pPr>
              <w:pStyle w:val="western"/>
              <w:spacing w:before="113" w:after="113" w:line="276" w:lineRule="auto"/>
              <w:ind w:right="-113"/>
              <w:jc w:val="both"/>
              <w:rPr>
                <w:rStyle w:val="ae"/>
                <w:rFonts w:eastAsia="Arial"/>
                <w:i w:val="0"/>
                <w:kern w:val="1"/>
                <w:sz w:val="22"/>
                <w:szCs w:val="22"/>
                <w:shd w:val="clear" w:color="auto" w:fill="FFFFFF"/>
                <w:lang w:bidi="hi-IN"/>
              </w:rPr>
            </w:pPr>
            <w:r w:rsidRPr="003165A7">
              <w:rPr>
                <w:rStyle w:val="ae"/>
                <w:rFonts w:eastAsia="Arial"/>
                <w:i w:val="0"/>
                <w:kern w:val="1"/>
                <w:sz w:val="22"/>
                <w:szCs w:val="22"/>
                <w:shd w:val="clear" w:color="auto" w:fill="FFFFFF"/>
                <w:lang w:bidi="hi-IN"/>
              </w:rPr>
              <w:t>Π</w:t>
            </w:r>
            <w:r w:rsidR="003F26C8" w:rsidRPr="003165A7">
              <w:rPr>
                <w:rStyle w:val="ae"/>
                <w:rFonts w:eastAsia="Arial"/>
                <w:i w:val="0"/>
                <w:kern w:val="1"/>
                <w:sz w:val="22"/>
                <w:szCs w:val="22"/>
                <w:shd w:val="clear" w:color="auto" w:fill="FFFFFF"/>
                <w:lang w:bidi="hi-IN"/>
              </w:rPr>
              <w:t>οσό</w:t>
            </w:r>
            <w:r>
              <w:rPr>
                <w:rStyle w:val="ae"/>
                <w:rFonts w:eastAsia="Arial"/>
                <w:i w:val="0"/>
                <w:kern w:val="1"/>
                <w:sz w:val="22"/>
                <w:szCs w:val="22"/>
                <w:shd w:val="clear" w:color="auto" w:fill="FFFFFF"/>
                <w:lang w:bidi="hi-IN"/>
              </w:rPr>
              <w:t xml:space="preserve"> ενίσχυσης</w:t>
            </w:r>
          </w:p>
        </w:tc>
      </w:tr>
      <w:tr w:rsidR="003F26C8" w:rsidRPr="003165A7" w:rsidTr="00E45F30">
        <w:tc>
          <w:tcPr>
            <w:tcW w:w="1327" w:type="dxa"/>
          </w:tcPr>
          <w:p w:rsidR="003F26C8" w:rsidRPr="003165A7" w:rsidRDefault="003F26C8" w:rsidP="00057DDC">
            <w:pPr>
              <w:pStyle w:val="western"/>
              <w:spacing w:before="113" w:after="113" w:line="276" w:lineRule="auto"/>
              <w:ind w:right="-113"/>
              <w:jc w:val="both"/>
              <w:rPr>
                <w:rStyle w:val="ae"/>
                <w:rFonts w:eastAsia="Arial"/>
                <w:i w:val="0"/>
                <w:kern w:val="1"/>
                <w:sz w:val="22"/>
                <w:szCs w:val="22"/>
                <w:shd w:val="clear" w:color="auto" w:fill="FFFFFF"/>
                <w:lang w:bidi="hi-IN"/>
              </w:rPr>
            </w:pPr>
            <w:r w:rsidRPr="003165A7">
              <w:rPr>
                <w:rStyle w:val="ae"/>
                <w:rFonts w:eastAsia="Arial"/>
                <w:i w:val="0"/>
                <w:kern w:val="1"/>
                <w:sz w:val="22"/>
                <w:szCs w:val="22"/>
                <w:shd w:val="clear" w:color="auto" w:fill="FFFFFF"/>
                <w:lang w:bidi="hi-IN"/>
              </w:rPr>
              <w:t>15/6061.004</w:t>
            </w:r>
          </w:p>
        </w:tc>
        <w:tc>
          <w:tcPr>
            <w:tcW w:w="5088" w:type="dxa"/>
          </w:tcPr>
          <w:p w:rsidR="003F26C8" w:rsidRPr="003165A7" w:rsidRDefault="0082077E" w:rsidP="00057DDC">
            <w:pPr>
              <w:pStyle w:val="western"/>
              <w:spacing w:before="113" w:after="113" w:line="276" w:lineRule="auto"/>
              <w:ind w:right="-113"/>
              <w:jc w:val="both"/>
              <w:rPr>
                <w:rStyle w:val="ae"/>
                <w:rFonts w:eastAsia="Arial"/>
                <w:i w:val="0"/>
                <w:kern w:val="1"/>
                <w:sz w:val="22"/>
                <w:szCs w:val="22"/>
                <w:shd w:val="clear" w:color="auto" w:fill="FFFFFF"/>
                <w:lang w:bidi="hi-IN"/>
              </w:rPr>
            </w:pPr>
            <w:r w:rsidRPr="003165A7">
              <w:rPr>
                <w:bCs/>
                <w:iCs/>
                <w:sz w:val="22"/>
                <w:szCs w:val="22"/>
              </w:rPr>
              <w:t>Παροχές σε είδος-είδη ατομικής προστασίας εργαζομένων (ένδυση κλπ)</w:t>
            </w:r>
          </w:p>
        </w:tc>
        <w:tc>
          <w:tcPr>
            <w:tcW w:w="3015" w:type="dxa"/>
          </w:tcPr>
          <w:p w:rsidR="003F26C8" w:rsidRPr="003165A7" w:rsidRDefault="003F26C8" w:rsidP="00057DDC">
            <w:pPr>
              <w:pStyle w:val="western"/>
              <w:spacing w:before="113" w:after="113" w:line="276" w:lineRule="auto"/>
              <w:ind w:right="-113"/>
              <w:jc w:val="both"/>
              <w:rPr>
                <w:rStyle w:val="ae"/>
                <w:rFonts w:eastAsia="Arial"/>
                <w:i w:val="0"/>
                <w:kern w:val="1"/>
                <w:sz w:val="22"/>
                <w:szCs w:val="22"/>
                <w:shd w:val="clear" w:color="auto" w:fill="FFFFFF"/>
                <w:lang w:bidi="hi-IN"/>
              </w:rPr>
            </w:pPr>
            <w:r w:rsidRPr="003165A7">
              <w:rPr>
                <w:rStyle w:val="ae"/>
                <w:rFonts w:eastAsia="Arial"/>
                <w:i w:val="0"/>
                <w:kern w:val="1"/>
                <w:sz w:val="22"/>
                <w:szCs w:val="22"/>
                <w:shd w:val="clear" w:color="auto" w:fill="FFFFFF"/>
                <w:lang w:bidi="hi-IN"/>
              </w:rPr>
              <w:t>4.500,00 €</w:t>
            </w:r>
          </w:p>
        </w:tc>
      </w:tr>
    </w:tbl>
    <w:p w:rsidR="00397B3C" w:rsidRPr="00F93760" w:rsidRDefault="00E77FC0" w:rsidP="006D2EE8">
      <w:pPr>
        <w:pStyle w:val="western"/>
        <w:spacing w:before="113" w:after="113" w:line="276" w:lineRule="auto"/>
        <w:ind w:left="-142" w:right="-113"/>
        <w:rPr>
          <w:sz w:val="22"/>
          <w:szCs w:val="22"/>
        </w:rPr>
      </w:pPr>
      <w:r w:rsidRPr="003165A7">
        <w:rPr>
          <w:sz w:val="22"/>
          <w:szCs w:val="22"/>
        </w:rPr>
        <w:t xml:space="preserve">Το Δημοτικό Συμβούλιο έκανε ομόφωνα δεκτές τις προτεινόμενες από τον Π.Ο.Υ αλλαγές. </w:t>
      </w:r>
      <w:r w:rsidR="00397B3C" w:rsidRPr="00F93760">
        <w:rPr>
          <w:sz w:val="22"/>
          <w:szCs w:val="22"/>
        </w:rPr>
        <w:t>Κατόπιν των ανωτέρω και μετά τ</w:t>
      </w:r>
      <w:r w:rsidR="0020635F">
        <w:rPr>
          <w:sz w:val="22"/>
          <w:szCs w:val="22"/>
        </w:rPr>
        <w:t>ην</w:t>
      </w:r>
      <w:r w:rsidR="003F4D36">
        <w:rPr>
          <w:sz w:val="22"/>
          <w:szCs w:val="22"/>
        </w:rPr>
        <w:t xml:space="preserve"> παραπάνω </w:t>
      </w:r>
      <w:r w:rsidR="004802FB">
        <w:rPr>
          <w:sz w:val="22"/>
          <w:szCs w:val="22"/>
        </w:rPr>
        <w:t xml:space="preserve"> πρόταση</w:t>
      </w:r>
      <w:r w:rsidR="00397B3C" w:rsidRPr="00F93760">
        <w:rPr>
          <w:sz w:val="22"/>
          <w:szCs w:val="22"/>
        </w:rPr>
        <w:t xml:space="preserve"> :</w:t>
      </w:r>
    </w:p>
    <w:p w:rsidR="006D2EE8" w:rsidRPr="00F93760" w:rsidRDefault="006D2EE8" w:rsidP="006D2EE8">
      <w:pPr>
        <w:spacing w:line="360" w:lineRule="auto"/>
      </w:pPr>
      <w:r w:rsidRPr="00F93760">
        <w:rPr>
          <w:rFonts w:ascii="Arial" w:hAnsi="Arial" w:cs="Arial"/>
          <w:sz w:val="22"/>
          <w:szCs w:val="22"/>
        </w:rPr>
        <w:t>1. Αυξάνονται τα έσοδα κατά</w:t>
      </w:r>
      <w:r w:rsidRPr="00F93760">
        <w:rPr>
          <w:rFonts w:ascii="Arial" w:hAnsi="Arial" w:cs="Arial"/>
          <w:b/>
          <w:bCs/>
          <w:sz w:val="22"/>
          <w:szCs w:val="22"/>
        </w:rPr>
        <w:t xml:space="preserve">  </w:t>
      </w:r>
      <w:r w:rsidR="00F93760" w:rsidRPr="00F93760">
        <w:rPr>
          <w:rFonts w:ascii="Arial" w:hAnsi="Arial" w:cs="Arial"/>
          <w:b/>
          <w:bCs/>
          <w:sz w:val="22"/>
          <w:szCs w:val="22"/>
        </w:rPr>
        <w:t>303.164,0</w:t>
      </w:r>
      <w:r w:rsidR="00397B3C" w:rsidRPr="00F93760">
        <w:rPr>
          <w:rFonts w:ascii="Arial" w:hAnsi="Arial" w:cs="Arial"/>
          <w:b/>
          <w:bCs/>
          <w:sz w:val="22"/>
          <w:szCs w:val="22"/>
        </w:rPr>
        <w:t>0</w:t>
      </w:r>
      <w:r w:rsidRPr="00F93760">
        <w:rPr>
          <w:rFonts w:ascii="Arial" w:hAnsi="Arial" w:cs="Arial"/>
          <w:b/>
          <w:bCs/>
          <w:sz w:val="22"/>
          <w:szCs w:val="22"/>
        </w:rPr>
        <w:t xml:space="preserve">€  </w:t>
      </w:r>
    </w:p>
    <w:p w:rsidR="006D2EE8" w:rsidRPr="00F93760" w:rsidRDefault="006D2EE8" w:rsidP="006D2EE8">
      <w:pPr>
        <w:spacing w:line="360" w:lineRule="auto"/>
      </w:pPr>
      <w:r w:rsidRPr="00F93760">
        <w:rPr>
          <w:rFonts w:ascii="Arial" w:hAnsi="Arial" w:cs="Arial"/>
          <w:sz w:val="22"/>
          <w:szCs w:val="22"/>
        </w:rPr>
        <w:t>2  Αυξάνονται τα έξοδα κατά</w:t>
      </w:r>
      <w:r w:rsidRPr="00F93760">
        <w:rPr>
          <w:rFonts w:ascii="Arial" w:hAnsi="Arial" w:cs="Arial"/>
          <w:b/>
          <w:bCs/>
          <w:sz w:val="22"/>
          <w:szCs w:val="22"/>
        </w:rPr>
        <w:t xml:space="preserve">  </w:t>
      </w:r>
      <w:r w:rsidR="00F93760" w:rsidRPr="00F93760">
        <w:rPr>
          <w:rFonts w:ascii="Arial" w:hAnsi="Arial" w:cs="Arial"/>
          <w:b/>
          <w:bCs/>
          <w:sz w:val="22"/>
          <w:szCs w:val="22"/>
        </w:rPr>
        <w:t>345.974,40</w:t>
      </w:r>
      <w:r w:rsidRPr="00F93760">
        <w:rPr>
          <w:rFonts w:ascii="Arial" w:hAnsi="Arial" w:cs="Arial"/>
          <w:b/>
          <w:bCs/>
          <w:sz w:val="22"/>
          <w:szCs w:val="22"/>
        </w:rPr>
        <w:t>€</w:t>
      </w:r>
    </w:p>
    <w:p w:rsidR="006D2EE8" w:rsidRPr="00F93760" w:rsidRDefault="006D2EE8" w:rsidP="006D2EE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93760">
        <w:rPr>
          <w:rFonts w:ascii="Arial" w:hAnsi="Arial" w:cs="Arial"/>
          <w:sz w:val="22"/>
          <w:szCs w:val="22"/>
        </w:rPr>
        <w:t>3 Το</w:t>
      </w:r>
      <w:r w:rsidRPr="00F93760">
        <w:rPr>
          <w:rFonts w:ascii="Arial" w:hAnsi="Arial" w:cs="Arial"/>
          <w:bCs/>
          <w:sz w:val="22"/>
          <w:szCs w:val="22"/>
        </w:rPr>
        <w:t xml:space="preserve">   αποθεματικό</w:t>
      </w:r>
      <w:r w:rsidRPr="00F93760">
        <w:rPr>
          <w:rFonts w:ascii="Arial" w:hAnsi="Arial" w:cs="Arial"/>
          <w:b/>
          <w:bCs/>
          <w:sz w:val="22"/>
          <w:szCs w:val="22"/>
        </w:rPr>
        <w:t xml:space="preserve">  </w:t>
      </w:r>
      <w:r w:rsidRPr="00F93760">
        <w:rPr>
          <w:rFonts w:ascii="Arial" w:hAnsi="Arial" w:cs="Arial"/>
          <w:sz w:val="22"/>
          <w:szCs w:val="22"/>
        </w:rPr>
        <w:t xml:space="preserve"> μειώνεται  κατά </w:t>
      </w:r>
      <w:r w:rsidR="00F93760" w:rsidRPr="00F93760">
        <w:rPr>
          <w:rFonts w:ascii="Arial" w:hAnsi="Arial" w:cs="Arial"/>
          <w:b/>
          <w:sz w:val="22"/>
          <w:szCs w:val="22"/>
        </w:rPr>
        <w:t>42</w:t>
      </w:r>
      <w:r w:rsidRPr="00F93760">
        <w:rPr>
          <w:rFonts w:ascii="Arial" w:hAnsi="Arial" w:cs="Arial"/>
          <w:b/>
          <w:sz w:val="22"/>
          <w:szCs w:val="22"/>
        </w:rPr>
        <w:t>.</w:t>
      </w:r>
      <w:r w:rsidR="00F93760" w:rsidRPr="00F93760">
        <w:rPr>
          <w:rFonts w:ascii="Arial" w:hAnsi="Arial" w:cs="Arial"/>
          <w:b/>
          <w:sz w:val="22"/>
          <w:szCs w:val="22"/>
        </w:rPr>
        <w:t>810,40</w:t>
      </w:r>
      <w:r w:rsidRPr="00F93760">
        <w:rPr>
          <w:rFonts w:ascii="Arial" w:hAnsi="Arial" w:cs="Arial"/>
          <w:sz w:val="22"/>
          <w:szCs w:val="22"/>
        </w:rPr>
        <w:t xml:space="preserve">€ και διαμορφώνεται   </w:t>
      </w:r>
      <w:r w:rsidRPr="00F93760">
        <w:rPr>
          <w:rFonts w:ascii="Arial" w:hAnsi="Arial" w:cs="Arial"/>
          <w:bCs/>
          <w:sz w:val="22"/>
          <w:szCs w:val="22"/>
        </w:rPr>
        <w:t>στα</w:t>
      </w:r>
      <w:r w:rsidRPr="00F93760">
        <w:rPr>
          <w:rFonts w:ascii="Arial" w:hAnsi="Arial" w:cs="Arial"/>
          <w:b/>
          <w:bCs/>
          <w:sz w:val="22"/>
          <w:szCs w:val="22"/>
        </w:rPr>
        <w:t xml:space="preserve"> </w:t>
      </w:r>
      <w:r w:rsidR="00F93760" w:rsidRPr="00F93760">
        <w:rPr>
          <w:rFonts w:ascii="Arial" w:hAnsi="Arial" w:cs="Arial"/>
          <w:b/>
          <w:bCs/>
          <w:sz w:val="22"/>
          <w:szCs w:val="22"/>
        </w:rPr>
        <w:t>64.508,73</w:t>
      </w:r>
      <w:r w:rsidRPr="00F93760">
        <w:rPr>
          <w:rFonts w:ascii="Arial" w:hAnsi="Arial" w:cs="Arial"/>
          <w:b/>
          <w:bCs/>
          <w:sz w:val="22"/>
          <w:szCs w:val="22"/>
        </w:rPr>
        <w:t>€.</w:t>
      </w:r>
    </w:p>
    <w:p w:rsidR="006D2EE8" w:rsidRPr="00F93760" w:rsidRDefault="00D6629F" w:rsidP="006D2EE8">
      <w:pPr>
        <w:spacing w:line="360" w:lineRule="auto"/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>
        <w:rPr>
          <w:rFonts w:ascii="Arial" w:hAnsi="Arial" w:cs="Arial"/>
          <w:bCs/>
          <w:sz w:val="22"/>
          <w:szCs w:val="22"/>
        </w:rPr>
        <w:t>4.</w:t>
      </w:r>
      <w:r w:rsidR="006D2EE8" w:rsidRPr="00F93760">
        <w:rPr>
          <w:rFonts w:ascii="Arial" w:hAnsi="Arial" w:cs="Arial"/>
          <w:bCs/>
          <w:sz w:val="22"/>
          <w:szCs w:val="22"/>
        </w:rPr>
        <w:t xml:space="preserve"> </w:t>
      </w:r>
      <w:r w:rsidR="006D2EE8" w:rsidRPr="00F93760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Ο προϋπολογισμός 2020   ανέρχεται στα </w:t>
      </w:r>
      <w:r w:rsidR="006D2EE8" w:rsidRPr="00F93760"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27.</w:t>
      </w:r>
      <w:r w:rsidR="00F93760" w:rsidRPr="00F93760"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329.246</w:t>
      </w:r>
      <w:r w:rsidR="00397B3C" w:rsidRPr="00F93760"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,03</w:t>
      </w:r>
      <w:r w:rsidR="006D2EE8" w:rsidRPr="00F93760"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€ </w:t>
      </w:r>
      <w:r w:rsidR="006D2EE8" w:rsidRPr="00F93760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περιλαμβανομένου και του αποθεματικού και παραμένει ισοσκελισμένος σύμφωνα με την ΚΥΑ οικ.55905/29-7-2019.</w:t>
      </w:r>
    </w:p>
    <w:p w:rsidR="002C54E8" w:rsidRDefault="002C54E8" w:rsidP="003876A9">
      <w:pPr>
        <w:jc w:val="both"/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</w:p>
    <w:p w:rsidR="003876A9" w:rsidRDefault="00397B3C" w:rsidP="003876A9">
      <w:pPr>
        <w:jc w:val="both"/>
        <w:rPr>
          <w:rFonts w:ascii="Arial" w:hAnsi="Arial" w:cs="Arial"/>
          <w:iCs/>
          <w:sz w:val="22"/>
          <w:szCs w:val="22"/>
        </w:rPr>
      </w:pPr>
      <w:r w:rsidRPr="00227B1C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227B1C" w:rsidRPr="00227B1C">
        <w:rPr>
          <w:rFonts w:ascii="Arial" w:hAnsi="Arial" w:cs="Arial"/>
          <w:sz w:val="22"/>
          <w:szCs w:val="22"/>
        </w:rPr>
        <w:t>- Ακολούθ</w:t>
      </w:r>
      <w:r w:rsidR="00227B1C">
        <w:rPr>
          <w:rFonts w:ascii="Arial" w:hAnsi="Arial" w:cs="Arial"/>
          <w:sz w:val="22"/>
          <w:szCs w:val="22"/>
        </w:rPr>
        <w:t xml:space="preserve">ως το λόγο ζήτησε και πήρε </w:t>
      </w:r>
      <w:r w:rsidR="00227B1C" w:rsidRPr="00227B1C">
        <w:rPr>
          <w:rFonts w:ascii="Arial" w:hAnsi="Arial" w:cs="Arial"/>
          <w:sz w:val="22"/>
          <w:szCs w:val="22"/>
        </w:rPr>
        <w:t>η</w:t>
      </w:r>
      <w:r w:rsidR="00227B1C" w:rsidRPr="00227B1C">
        <w:rPr>
          <w:rFonts w:ascii="Arial" w:hAnsi="Arial" w:cs="Arial"/>
          <w:sz w:val="22"/>
          <w:szCs w:val="22"/>
          <w:shd w:val="clear" w:color="auto" w:fill="FFFFFF"/>
        </w:rPr>
        <w:t xml:space="preserve"> δημοτική σύμβουλο</w:t>
      </w:r>
      <w:r w:rsidR="00227B1C">
        <w:rPr>
          <w:rFonts w:ascii="Arial" w:hAnsi="Arial" w:cs="Arial"/>
          <w:sz w:val="22"/>
          <w:szCs w:val="22"/>
          <w:shd w:val="clear" w:color="auto" w:fill="FFFFFF"/>
        </w:rPr>
        <w:t xml:space="preserve">ς </w:t>
      </w:r>
      <w:r w:rsidR="00227B1C" w:rsidRPr="00227B1C">
        <w:rPr>
          <w:rFonts w:ascii="Arial" w:hAnsi="Arial" w:cs="Arial"/>
          <w:sz w:val="22"/>
          <w:szCs w:val="22"/>
          <w:shd w:val="clear" w:color="auto" w:fill="FFFFFF"/>
        </w:rPr>
        <w:t xml:space="preserve">κα </w:t>
      </w:r>
      <w:proofErr w:type="spellStart"/>
      <w:r w:rsidR="00227B1C" w:rsidRPr="00227B1C">
        <w:rPr>
          <w:rFonts w:ascii="Arial" w:hAnsi="Arial" w:cs="Arial"/>
          <w:sz w:val="22"/>
          <w:szCs w:val="22"/>
          <w:shd w:val="clear" w:color="auto" w:fill="FFFFFF"/>
        </w:rPr>
        <w:t>Πούλου</w:t>
      </w:r>
      <w:proofErr w:type="spellEnd"/>
      <w:r w:rsidR="00227B1C" w:rsidRPr="00227B1C">
        <w:rPr>
          <w:rFonts w:ascii="Arial" w:hAnsi="Arial" w:cs="Arial"/>
          <w:sz w:val="22"/>
          <w:szCs w:val="22"/>
          <w:shd w:val="clear" w:color="auto" w:fill="FFFFFF"/>
        </w:rPr>
        <w:t xml:space="preserve"> Γιώτα επικεφαλής της παράταξης «Δυναμική </w:t>
      </w:r>
      <w:proofErr w:type="spellStart"/>
      <w:r w:rsidR="00227B1C" w:rsidRPr="00227B1C">
        <w:rPr>
          <w:rFonts w:ascii="Arial" w:hAnsi="Arial" w:cs="Arial"/>
          <w:sz w:val="22"/>
          <w:szCs w:val="22"/>
          <w:shd w:val="clear" w:color="auto" w:fill="FFFFFF"/>
        </w:rPr>
        <w:t>Αυτοδιοικητική</w:t>
      </w:r>
      <w:proofErr w:type="spellEnd"/>
      <w:r w:rsidR="00227B1C" w:rsidRPr="00227B1C">
        <w:rPr>
          <w:rFonts w:ascii="Arial" w:hAnsi="Arial" w:cs="Arial"/>
          <w:sz w:val="22"/>
          <w:szCs w:val="22"/>
          <w:shd w:val="clear" w:color="auto" w:fill="FFFFFF"/>
        </w:rPr>
        <w:t xml:space="preserve"> Συνεργασία»  </w:t>
      </w:r>
      <w:r w:rsidR="00227B1C">
        <w:rPr>
          <w:rFonts w:ascii="Arial" w:hAnsi="Arial" w:cs="Arial"/>
          <w:sz w:val="22"/>
          <w:szCs w:val="22"/>
          <w:shd w:val="clear" w:color="auto" w:fill="FFFFFF"/>
        </w:rPr>
        <w:t xml:space="preserve">η οποία </w:t>
      </w:r>
      <w:r w:rsidR="00227B1C" w:rsidRPr="00227B1C">
        <w:rPr>
          <w:rFonts w:ascii="Arial" w:hAnsi="Arial" w:cs="Arial"/>
          <w:sz w:val="22"/>
          <w:szCs w:val="22"/>
          <w:shd w:val="clear" w:color="auto" w:fill="FFFFFF"/>
        </w:rPr>
        <w:t xml:space="preserve"> ανέφερε</w:t>
      </w:r>
      <w:r w:rsidR="00227B1C">
        <w:rPr>
          <w:rFonts w:ascii="Arial" w:hAnsi="Arial" w:cs="Arial"/>
          <w:sz w:val="22"/>
          <w:szCs w:val="22"/>
          <w:shd w:val="clear" w:color="auto" w:fill="FFFFFF"/>
        </w:rPr>
        <w:t xml:space="preserve"> ότι όπως και στη συζήτηση του </w:t>
      </w:r>
      <w:r w:rsidR="00CE514E">
        <w:rPr>
          <w:rFonts w:ascii="Arial" w:hAnsi="Arial" w:cs="Arial"/>
          <w:sz w:val="22"/>
          <w:szCs w:val="22"/>
          <w:shd w:val="clear" w:color="auto" w:fill="FFFFFF"/>
        </w:rPr>
        <w:t xml:space="preserve">εν λόγω </w:t>
      </w:r>
      <w:r w:rsidR="00227B1C">
        <w:rPr>
          <w:rFonts w:ascii="Arial" w:hAnsi="Arial" w:cs="Arial"/>
          <w:sz w:val="22"/>
          <w:szCs w:val="22"/>
          <w:shd w:val="clear" w:color="auto" w:fill="FFFFFF"/>
        </w:rPr>
        <w:t xml:space="preserve">θέματος στην Οικονομική Επιτροπή ο δημοτικός σύμβουλος κ. </w:t>
      </w:r>
      <w:proofErr w:type="spellStart"/>
      <w:r w:rsidR="00227B1C">
        <w:rPr>
          <w:rFonts w:ascii="Arial" w:hAnsi="Arial" w:cs="Arial"/>
          <w:sz w:val="22"/>
          <w:szCs w:val="22"/>
          <w:shd w:val="clear" w:color="auto" w:fill="FFFFFF"/>
        </w:rPr>
        <w:t>Καπλάνης</w:t>
      </w:r>
      <w:proofErr w:type="spellEnd"/>
      <w:r w:rsidR="00227B1C">
        <w:rPr>
          <w:rFonts w:ascii="Arial" w:hAnsi="Arial" w:cs="Arial"/>
          <w:sz w:val="22"/>
          <w:szCs w:val="22"/>
          <w:shd w:val="clear" w:color="auto" w:fill="FFFFFF"/>
        </w:rPr>
        <w:t xml:space="preserve"> εξέφρασε την </w:t>
      </w:r>
      <w:r w:rsidR="002457EA">
        <w:rPr>
          <w:rFonts w:ascii="Arial" w:hAnsi="Arial" w:cs="Arial"/>
          <w:sz w:val="22"/>
          <w:szCs w:val="22"/>
          <w:shd w:val="clear" w:color="auto" w:fill="FFFFFF"/>
        </w:rPr>
        <w:t>…</w:t>
      </w:r>
      <w:r w:rsidR="00227B1C">
        <w:rPr>
          <w:rFonts w:ascii="Arial" w:hAnsi="Arial" w:cs="Arial"/>
          <w:iCs/>
          <w:sz w:val="22"/>
          <w:szCs w:val="22"/>
        </w:rPr>
        <w:t xml:space="preserve">  </w:t>
      </w:r>
      <w:r w:rsidR="00227B1C" w:rsidRPr="002457EA">
        <w:rPr>
          <w:rFonts w:ascii="Arial" w:hAnsi="Arial" w:cs="Arial"/>
          <w:iCs/>
          <w:sz w:val="22"/>
          <w:szCs w:val="22"/>
          <w:u w:val="single"/>
        </w:rPr>
        <w:t>&lt;&lt;</w:t>
      </w:r>
      <w:r w:rsidR="00227B1C" w:rsidRPr="002457EA">
        <w:rPr>
          <w:rFonts w:ascii="Arial" w:hAnsi="Arial" w:cs="Arial"/>
          <w:i/>
          <w:iCs/>
          <w:sz w:val="22"/>
          <w:szCs w:val="22"/>
          <w:u w:val="single"/>
        </w:rPr>
        <w:t>επιφύλαξη επί του νέου Κ.Α. 70/7135.003  «προμήθεια μηχανισμού ρολογιού Λιβαδειάς» , καθότι είναι υπέρ της λειτουργίας αυτού με τον παραδοσιακό μηχανισμό  και της εξάντλησης των περιθωρίων επισκευής του&gt;&gt;</w:t>
      </w:r>
      <w:r w:rsidR="002457EA">
        <w:rPr>
          <w:rFonts w:ascii="Arial" w:hAnsi="Arial" w:cs="Arial"/>
          <w:i/>
          <w:iCs/>
          <w:sz w:val="22"/>
          <w:szCs w:val="22"/>
        </w:rPr>
        <w:t>,</w:t>
      </w:r>
      <w:r w:rsidR="00227B1C">
        <w:rPr>
          <w:rFonts w:ascii="Arial" w:hAnsi="Arial" w:cs="Arial"/>
          <w:i/>
          <w:iCs/>
          <w:sz w:val="22"/>
          <w:szCs w:val="22"/>
        </w:rPr>
        <w:t xml:space="preserve"> </w:t>
      </w:r>
      <w:r w:rsidR="00227B1C" w:rsidRPr="00227B1C">
        <w:rPr>
          <w:rFonts w:ascii="Arial" w:hAnsi="Arial" w:cs="Arial"/>
          <w:iCs/>
          <w:sz w:val="22"/>
          <w:szCs w:val="22"/>
        </w:rPr>
        <w:t xml:space="preserve">έτσι και τώρα η παράταξή της δηλώνει ότι εκφράζει τις </w:t>
      </w:r>
      <w:r w:rsidR="00CE514E">
        <w:rPr>
          <w:rFonts w:ascii="Arial" w:hAnsi="Arial" w:cs="Arial"/>
          <w:iCs/>
          <w:sz w:val="22"/>
          <w:szCs w:val="22"/>
        </w:rPr>
        <w:t>επιφυλάξεις-</w:t>
      </w:r>
      <w:r w:rsidR="00227B1C" w:rsidRPr="00227B1C">
        <w:rPr>
          <w:rFonts w:ascii="Arial" w:hAnsi="Arial" w:cs="Arial"/>
          <w:iCs/>
          <w:sz w:val="22"/>
          <w:szCs w:val="22"/>
        </w:rPr>
        <w:t>αντιρρήσεις της και καλεί τη δημοτική αρχή να εξαντλ</w:t>
      </w:r>
      <w:r w:rsidR="00CE514E">
        <w:rPr>
          <w:rFonts w:ascii="Arial" w:hAnsi="Arial" w:cs="Arial"/>
          <w:iCs/>
          <w:sz w:val="22"/>
          <w:szCs w:val="22"/>
        </w:rPr>
        <w:t>ήσει</w:t>
      </w:r>
      <w:r w:rsidR="00227B1C" w:rsidRPr="00227B1C">
        <w:rPr>
          <w:rFonts w:ascii="Arial" w:hAnsi="Arial" w:cs="Arial"/>
          <w:iCs/>
          <w:sz w:val="22"/>
          <w:szCs w:val="22"/>
        </w:rPr>
        <w:t xml:space="preserve"> κάθε δυνατότητα επισκευής του υπάρχοντος μηχανισμού</w:t>
      </w:r>
      <w:r w:rsidR="00CE514E">
        <w:rPr>
          <w:rFonts w:ascii="Arial" w:hAnsi="Arial" w:cs="Arial"/>
          <w:iCs/>
          <w:sz w:val="22"/>
          <w:szCs w:val="22"/>
        </w:rPr>
        <w:t>,</w:t>
      </w:r>
      <w:r w:rsidR="00227B1C" w:rsidRPr="00227B1C">
        <w:rPr>
          <w:rFonts w:ascii="Arial" w:hAnsi="Arial" w:cs="Arial"/>
          <w:iCs/>
          <w:sz w:val="22"/>
          <w:szCs w:val="22"/>
        </w:rPr>
        <w:t xml:space="preserve"> γιατί είναι ιστορικής αξίας και αποτελεί σημείο αναφοράς αλλά και προσέλκυσης ενδιαφέροντος </w:t>
      </w:r>
      <w:r w:rsidR="00CE514E">
        <w:rPr>
          <w:rFonts w:ascii="Arial" w:hAnsi="Arial" w:cs="Arial"/>
          <w:iCs/>
          <w:sz w:val="22"/>
          <w:szCs w:val="22"/>
        </w:rPr>
        <w:t>τόσο για τους δημότες όσο και τους επισκέπτες της πόλης</w:t>
      </w:r>
      <w:r w:rsidR="00227B1C" w:rsidRPr="00227B1C">
        <w:rPr>
          <w:rFonts w:ascii="Arial" w:hAnsi="Arial" w:cs="Arial"/>
          <w:iCs/>
          <w:sz w:val="22"/>
          <w:szCs w:val="22"/>
        </w:rPr>
        <w:t>.</w:t>
      </w:r>
    </w:p>
    <w:p w:rsidR="00CE514E" w:rsidRDefault="00CE514E" w:rsidP="003876A9">
      <w:pPr>
        <w:jc w:val="both"/>
        <w:rPr>
          <w:rFonts w:ascii="Arial" w:hAnsi="Arial" w:cs="Arial"/>
          <w:iCs/>
          <w:sz w:val="22"/>
          <w:szCs w:val="22"/>
        </w:rPr>
      </w:pPr>
    </w:p>
    <w:p w:rsidR="00227B1C" w:rsidRPr="00227B1C" w:rsidRDefault="00227B1C" w:rsidP="003876A9">
      <w:pPr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-Απαντώντας ο κ. Δήμαρχος τόνισε ότι υπάρχει καλή διάθεση</w:t>
      </w:r>
      <w:r w:rsidR="00CE514E">
        <w:rPr>
          <w:rFonts w:ascii="Arial" w:hAnsi="Arial" w:cs="Arial"/>
          <w:iCs/>
          <w:sz w:val="22"/>
          <w:szCs w:val="22"/>
        </w:rPr>
        <w:t xml:space="preserve"> διατήρησης του τρόπου που λειτουργεί μέχρι στιγμής το ρολόι,</w:t>
      </w:r>
      <w:r>
        <w:rPr>
          <w:rFonts w:ascii="Arial" w:hAnsi="Arial" w:cs="Arial"/>
          <w:iCs/>
          <w:sz w:val="22"/>
          <w:szCs w:val="22"/>
        </w:rPr>
        <w:t xml:space="preserve"> αλλά </w:t>
      </w:r>
      <w:r w:rsidR="002457EA">
        <w:rPr>
          <w:rFonts w:ascii="Arial" w:hAnsi="Arial" w:cs="Arial"/>
          <w:iCs/>
          <w:sz w:val="22"/>
          <w:szCs w:val="22"/>
        </w:rPr>
        <w:t>δυστυχώς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2457EA">
        <w:rPr>
          <w:rFonts w:ascii="Arial" w:hAnsi="Arial" w:cs="Arial"/>
          <w:iCs/>
          <w:sz w:val="22"/>
          <w:szCs w:val="22"/>
        </w:rPr>
        <w:t>οι απαντήσεις των εξειδικευμένων ειδικών  που μέχρι στιγμής έχουν επιληφθεί του θέματος</w:t>
      </w:r>
      <w:r w:rsidR="00CE514E">
        <w:rPr>
          <w:rFonts w:ascii="Arial" w:hAnsi="Arial" w:cs="Arial"/>
          <w:iCs/>
          <w:sz w:val="22"/>
          <w:szCs w:val="22"/>
        </w:rPr>
        <w:t>,</w:t>
      </w:r>
      <w:r w:rsidR="002457EA">
        <w:rPr>
          <w:rFonts w:ascii="Arial" w:hAnsi="Arial" w:cs="Arial"/>
          <w:iCs/>
          <w:sz w:val="22"/>
          <w:szCs w:val="22"/>
        </w:rPr>
        <w:t xml:space="preserve"> είναι ότι δεν μπορεί να επισκευαστεί</w:t>
      </w:r>
      <w:r w:rsidR="00CE514E">
        <w:rPr>
          <w:rFonts w:ascii="Arial" w:hAnsi="Arial" w:cs="Arial"/>
          <w:iCs/>
          <w:sz w:val="22"/>
          <w:szCs w:val="22"/>
        </w:rPr>
        <w:t xml:space="preserve"> ο υπάρχων μηχανισμός</w:t>
      </w:r>
      <w:r w:rsidR="002457EA">
        <w:rPr>
          <w:rFonts w:ascii="Arial" w:hAnsi="Arial" w:cs="Arial"/>
          <w:iCs/>
          <w:sz w:val="22"/>
          <w:szCs w:val="22"/>
        </w:rPr>
        <w:t>. Απαιτείται κούρδισμα ανά 20 ώρες το κόστος του οποίου είναι τεράστιο.</w:t>
      </w:r>
    </w:p>
    <w:p w:rsidR="00052B9B" w:rsidRDefault="00052B9B" w:rsidP="00052B9B">
      <w:pPr>
        <w:pStyle w:val="western"/>
        <w:spacing w:before="113" w:after="113" w:line="276" w:lineRule="auto"/>
        <w:ind w:left="-142" w:right="-113"/>
        <w:rPr>
          <w:sz w:val="22"/>
          <w:szCs w:val="22"/>
        </w:rPr>
      </w:pPr>
      <w:r>
        <w:rPr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052B9B" w:rsidRPr="00EC6CB6" w:rsidRDefault="00052B9B" w:rsidP="00052B9B">
      <w:pPr>
        <w:pStyle w:val="a5"/>
        <w:widowControl w:val="0"/>
        <w:numPr>
          <w:ilvl w:val="0"/>
          <w:numId w:val="2"/>
        </w:numPr>
        <w:spacing w:before="4" w:after="4" w:line="360" w:lineRule="auto"/>
        <w:ind w:left="714" w:hanging="357"/>
        <w:jc w:val="both"/>
        <w:rPr>
          <w:rFonts w:cs="Arial"/>
          <w:color w:val="000000"/>
          <w:szCs w:val="22"/>
        </w:rPr>
      </w:pPr>
      <w:r w:rsidRPr="00EC6CB6"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</w:t>
      </w:r>
      <w:r w:rsidRPr="00EC6CB6">
        <w:rPr>
          <w:rFonts w:cs="Arial"/>
          <w:szCs w:val="22"/>
        </w:rPr>
        <w:t xml:space="preserve">Τις διατάξεις της παρ. 1 της υπ </w:t>
      </w:r>
      <w:proofErr w:type="spellStart"/>
      <w:r w:rsidRPr="00EC6CB6">
        <w:rPr>
          <w:rFonts w:cs="Arial"/>
          <w:szCs w:val="22"/>
        </w:rPr>
        <w:t>αριθμ</w:t>
      </w:r>
      <w:proofErr w:type="spellEnd"/>
      <w:r w:rsidRPr="00EC6CB6">
        <w:rPr>
          <w:rFonts w:cs="Arial"/>
          <w:szCs w:val="22"/>
        </w:rPr>
        <w:t xml:space="preserve">. 40/31-3-2020 εγκυκλίου του Υπουργείου Εσωτερικών </w:t>
      </w:r>
      <w:r w:rsidRPr="00EC6CB6">
        <w:rPr>
          <w:rFonts w:cs="Arial"/>
          <w:bCs/>
          <w:color w:val="000000"/>
          <w:szCs w:val="22"/>
        </w:rPr>
        <w:t>Περιεχομένου</w:t>
      </w:r>
      <w:r w:rsidRPr="00EC6CB6">
        <w:rPr>
          <w:rFonts w:cs="Arial"/>
          <w:color w:val="000000"/>
          <w:szCs w:val="22"/>
        </w:rPr>
        <w:t xml:space="preserve"> </w:t>
      </w:r>
      <w:r w:rsidRPr="00EC6CB6">
        <w:rPr>
          <w:rFonts w:cs="Arial"/>
          <w:bCs/>
          <w:color w:val="000000"/>
          <w:szCs w:val="22"/>
        </w:rPr>
        <w:t>(ΦΕΚ  6ΩΠΥ46ΜΤΛ6-50Ψ’):</w:t>
      </w:r>
      <w:r w:rsidRPr="00EC6CB6">
        <w:rPr>
          <w:rFonts w:cs="Arial"/>
          <w:color w:val="000000"/>
          <w:szCs w:val="22"/>
        </w:rPr>
        <w:t xml:space="preserve"> «Ενημέρωση για την εφαρμογή του κανονιστικού πλαισίου αντιμετώπισης</w:t>
      </w:r>
      <w:r w:rsidRPr="00EC6CB6">
        <w:rPr>
          <w:rFonts w:cs="Arial"/>
          <w:szCs w:val="22"/>
        </w:rPr>
        <w:t xml:space="preserve"> του  </w:t>
      </w:r>
      <w:proofErr w:type="spellStart"/>
      <w:r w:rsidRPr="00EC6CB6">
        <w:rPr>
          <w:rFonts w:cs="Arial"/>
          <w:szCs w:val="22"/>
        </w:rPr>
        <w:t>κορωνοϊού</w:t>
      </w:r>
      <w:proofErr w:type="spellEnd"/>
      <w:r w:rsidRPr="00EC6CB6">
        <w:rPr>
          <w:rFonts w:cs="Arial"/>
          <w:szCs w:val="22"/>
        </w:rPr>
        <w:t xml:space="preserve"> </w:t>
      </w:r>
      <w:r w:rsidRPr="00EC6CB6">
        <w:rPr>
          <w:rFonts w:cs="Arial"/>
          <w:szCs w:val="22"/>
          <w:lang w:val="en-US"/>
        </w:rPr>
        <w:t>COVID</w:t>
      </w:r>
      <w:r w:rsidRPr="00EC6CB6">
        <w:rPr>
          <w:rFonts w:cs="Arial"/>
          <w:szCs w:val="22"/>
        </w:rPr>
        <w:t>-19 , αναφορικά με την οργάνωση και λειτουργία των δήμων</w:t>
      </w:r>
      <w:r w:rsidRPr="00EC6CB6">
        <w:rPr>
          <w:rFonts w:cs="Arial"/>
          <w:color w:val="000000"/>
          <w:szCs w:val="22"/>
        </w:rPr>
        <w:t>».</w:t>
      </w:r>
    </w:p>
    <w:p w:rsidR="00052B9B" w:rsidRDefault="00052B9B" w:rsidP="00E45F30">
      <w:pPr>
        <w:pStyle w:val="a8"/>
        <w:widowControl w:val="0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052B9B" w:rsidRDefault="00052B9B" w:rsidP="00E45F30">
      <w:pPr>
        <w:pStyle w:val="a8"/>
        <w:widowControl w:val="0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lastRenderedPageBreak/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052B9B" w:rsidRDefault="00052B9B" w:rsidP="00E45F30">
      <w:pPr>
        <w:pStyle w:val="a8"/>
        <w:widowControl w:val="0"/>
        <w:numPr>
          <w:ilvl w:val="0"/>
          <w:numId w:val="3"/>
        </w:numPr>
        <w:spacing w:before="6" w:after="6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0D1763"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52B9B" w:rsidRPr="00052B9B" w:rsidRDefault="00052B9B" w:rsidP="00E45F30">
      <w:pPr>
        <w:pStyle w:val="a8"/>
        <w:numPr>
          <w:ilvl w:val="0"/>
          <w:numId w:val="3"/>
        </w:numPr>
        <w:tabs>
          <w:tab w:val="center" w:pos="8460"/>
        </w:tabs>
        <w:spacing w:before="113" w:after="113"/>
        <w:ind w:left="714" w:hanging="357"/>
        <w:jc w:val="both"/>
        <w:rPr>
          <w:rFonts w:ascii="Arial" w:hAnsi="Arial" w:cs="Arial"/>
          <w:sz w:val="22"/>
          <w:szCs w:val="22"/>
        </w:rPr>
      </w:pPr>
      <w:r w:rsidRPr="00052B9B">
        <w:rPr>
          <w:rStyle w:val="ae"/>
          <w:rFonts w:ascii="Arial" w:eastAsia="Arial" w:hAnsi="Arial" w:cs="Arial"/>
          <w:bCs/>
          <w:i w:val="0"/>
          <w:sz w:val="22"/>
          <w:szCs w:val="22"/>
        </w:rPr>
        <w:t>τις διατάξεις των άρθρων 65,67,238 του Ν.3852/10, όπως τροποποιήθηκαν με το άρθρο 72 και 74 του Ν. 4555/2018 και</w:t>
      </w:r>
      <w:r w:rsidRPr="00052B9B">
        <w:rPr>
          <w:rStyle w:val="ae"/>
          <w:rFonts w:ascii="Arial" w:eastAsia="Arial" w:hAnsi="Arial" w:cs="Arial"/>
          <w:bCs/>
          <w:sz w:val="22"/>
          <w:szCs w:val="22"/>
        </w:rPr>
        <w:t xml:space="preserve"> </w:t>
      </w:r>
      <w:r w:rsidRPr="00052B9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344509" w:rsidRPr="00344509" w:rsidRDefault="00344509" w:rsidP="00E45F30">
      <w:pPr>
        <w:pStyle w:val="a5"/>
        <w:widowControl w:val="0"/>
        <w:numPr>
          <w:ilvl w:val="0"/>
          <w:numId w:val="2"/>
        </w:numPr>
        <w:suppressAutoHyphens/>
        <w:spacing w:before="119" w:after="119"/>
        <w:ind w:left="714" w:hanging="357"/>
        <w:jc w:val="both"/>
        <w:rPr>
          <w:rFonts w:cs="Arial"/>
        </w:rPr>
      </w:pPr>
      <w:r w:rsidRPr="00344509">
        <w:rPr>
          <w:rStyle w:val="ae"/>
          <w:rFonts w:eastAsia="Arial" w:cs="Arial"/>
          <w:bCs/>
          <w:szCs w:val="22"/>
        </w:rPr>
        <w:t xml:space="preserve"> </w:t>
      </w:r>
      <w:r w:rsidRPr="00344509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 xml:space="preserve">Την υπ </w:t>
      </w:r>
      <w:proofErr w:type="spellStart"/>
      <w:r w:rsidRPr="00344509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>αριθμ</w:t>
      </w:r>
      <w:proofErr w:type="spellEnd"/>
      <w:r w:rsidRPr="00344509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 xml:space="preserve">. </w:t>
      </w:r>
      <w:r w:rsidR="002457EA">
        <w:rPr>
          <w:rStyle w:val="ae"/>
          <w:rFonts w:eastAsia="Arial"/>
          <w:i w:val="0"/>
          <w:kern w:val="1"/>
          <w:szCs w:val="22"/>
          <w:shd w:val="clear" w:color="auto" w:fill="FFFFFF"/>
          <w:lang w:bidi="hi-IN"/>
        </w:rPr>
        <w:t>2</w:t>
      </w:r>
      <w:r w:rsidR="002457EA" w:rsidRPr="006D2EE8">
        <w:rPr>
          <w:rStyle w:val="ae"/>
          <w:rFonts w:eastAsia="Arial"/>
          <w:i w:val="0"/>
          <w:kern w:val="1"/>
          <w:szCs w:val="22"/>
          <w:shd w:val="clear" w:color="auto" w:fill="FFFFFF"/>
          <w:lang w:bidi="hi-IN"/>
        </w:rPr>
        <w:t>19/2020 (ΑΔΑ:</w:t>
      </w:r>
      <w:r w:rsidR="002457EA">
        <w:rPr>
          <w:rStyle w:val="ae"/>
          <w:rFonts w:eastAsia="Arial"/>
          <w:i w:val="0"/>
          <w:kern w:val="1"/>
          <w:szCs w:val="22"/>
          <w:shd w:val="clear" w:color="auto" w:fill="FFFFFF"/>
          <w:lang w:bidi="hi-IN"/>
        </w:rPr>
        <w:t>6ΣΒΑ</w:t>
      </w:r>
      <w:r w:rsidR="002457EA" w:rsidRPr="006D2EE8">
        <w:rPr>
          <w:rStyle w:val="ae"/>
          <w:rFonts w:eastAsia="Arial"/>
          <w:i w:val="0"/>
          <w:kern w:val="1"/>
          <w:szCs w:val="22"/>
          <w:shd w:val="clear" w:color="auto" w:fill="FFFFFF"/>
          <w:lang w:bidi="hi-IN"/>
        </w:rPr>
        <w:t>ΩΛΗ-</w:t>
      </w:r>
      <w:r w:rsidR="002457EA">
        <w:rPr>
          <w:rStyle w:val="ae"/>
          <w:rFonts w:eastAsia="Arial"/>
          <w:i w:val="0"/>
          <w:kern w:val="1"/>
          <w:szCs w:val="22"/>
          <w:shd w:val="clear" w:color="auto" w:fill="FFFFFF"/>
          <w:lang w:bidi="hi-IN"/>
        </w:rPr>
        <w:t>ΞΤΦ</w:t>
      </w:r>
      <w:r w:rsidR="002457EA" w:rsidRPr="006D2EE8">
        <w:rPr>
          <w:rStyle w:val="ae"/>
          <w:rFonts w:eastAsia="Arial"/>
          <w:i w:val="0"/>
          <w:kern w:val="1"/>
          <w:szCs w:val="22"/>
          <w:shd w:val="clear" w:color="auto" w:fill="FFFFFF"/>
          <w:lang w:bidi="hi-IN"/>
        </w:rPr>
        <w:t xml:space="preserve">) </w:t>
      </w:r>
      <w:r w:rsidRPr="00344509">
        <w:rPr>
          <w:rStyle w:val="ae"/>
          <w:rFonts w:eastAsia="Arial" w:cs="Arial"/>
          <w:kern w:val="1"/>
          <w:szCs w:val="22"/>
          <w:shd w:val="clear" w:color="auto" w:fill="FFFFFF"/>
          <w:lang w:bidi="hi-IN"/>
        </w:rPr>
        <w:t xml:space="preserve"> </w:t>
      </w:r>
      <w:r w:rsidRPr="00344509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>απόφαση  της Οικονομικής</w:t>
      </w:r>
      <w:r w:rsidRPr="00344509">
        <w:rPr>
          <w:rFonts w:eastAsia="Arial" w:cs="Arial"/>
          <w:i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</w:t>
      </w:r>
      <w:r w:rsidRPr="00344509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Επιτροπής </w:t>
      </w:r>
      <w:r w:rsidRPr="00344509">
        <w:rPr>
          <w:rFonts w:eastAsia="Arial" w:cs="Arial"/>
          <w:color w:val="000000"/>
          <w:kern w:val="1"/>
          <w:szCs w:val="22"/>
          <w:shd w:val="clear" w:color="auto" w:fill="FFFFFF"/>
          <w:lang w:bidi="hi-IN"/>
        </w:rPr>
        <w:t xml:space="preserve"> η οποία είχε διανεμηθεί</w:t>
      </w:r>
    </w:p>
    <w:p w:rsidR="00CD4A8F" w:rsidRPr="00CD4A8F" w:rsidRDefault="00344509" w:rsidP="00E45F30">
      <w:pPr>
        <w:pStyle w:val="a8"/>
        <w:numPr>
          <w:ilvl w:val="0"/>
          <w:numId w:val="3"/>
        </w:numPr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Τ</w:t>
      </w:r>
      <w:r w:rsidR="008A7C07">
        <w:rPr>
          <w:rFonts w:ascii="Arial" w:hAnsi="Arial" w:cs="Arial"/>
          <w:spacing w:val="-3"/>
          <w:sz w:val="22"/>
          <w:szCs w:val="22"/>
        </w:rPr>
        <w:t>ην</w:t>
      </w:r>
      <w:r>
        <w:rPr>
          <w:rFonts w:ascii="Arial" w:hAnsi="Arial" w:cs="Arial"/>
          <w:spacing w:val="-3"/>
          <w:sz w:val="22"/>
          <w:szCs w:val="22"/>
        </w:rPr>
        <w:t xml:space="preserve"> αλλαγ</w:t>
      </w:r>
      <w:r w:rsidR="008A7C07">
        <w:rPr>
          <w:rFonts w:ascii="Arial" w:hAnsi="Arial" w:cs="Arial"/>
          <w:spacing w:val="-3"/>
          <w:sz w:val="22"/>
          <w:szCs w:val="22"/>
        </w:rPr>
        <w:t>ή</w:t>
      </w:r>
      <w:r>
        <w:rPr>
          <w:rFonts w:ascii="Arial" w:hAnsi="Arial" w:cs="Arial"/>
          <w:spacing w:val="-3"/>
          <w:sz w:val="22"/>
          <w:szCs w:val="22"/>
        </w:rPr>
        <w:t xml:space="preserve"> που ζήτησε ο Π.Ο.Υ</w:t>
      </w:r>
    </w:p>
    <w:p w:rsidR="00052B9B" w:rsidRPr="00E77FC0" w:rsidRDefault="00052B9B" w:rsidP="00E45F30">
      <w:pPr>
        <w:pStyle w:val="a5"/>
        <w:numPr>
          <w:ilvl w:val="0"/>
          <w:numId w:val="3"/>
        </w:numPr>
        <w:suppressAutoHyphens/>
        <w:jc w:val="both"/>
        <w:rPr>
          <w:rFonts w:cs="Arial"/>
          <w:szCs w:val="22"/>
        </w:rPr>
      </w:pPr>
      <w:r w:rsidRPr="00C6575B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9222C6" w:rsidRDefault="00344509" w:rsidP="00E77FC0">
      <w:pPr>
        <w:pStyle w:val="a5"/>
        <w:widowControl w:val="0"/>
        <w:suppressAutoHyphens/>
        <w:spacing w:before="119" w:after="119" w:line="360" w:lineRule="auto"/>
        <w:ind w:left="360"/>
        <w:jc w:val="both"/>
        <w:rPr>
          <w:rFonts w:eastAsia="Arial" w:cs="Arial"/>
          <w:b/>
          <w:bCs/>
          <w:szCs w:val="22"/>
        </w:rPr>
      </w:pPr>
      <w:r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</w:t>
      </w:r>
      <w:r w:rsidR="009222C6">
        <w:rPr>
          <w:rFonts w:ascii="Calibri" w:eastAsia="Calibri" w:hAnsi="Calibri" w:cs="Calibri"/>
          <w:b/>
          <w:bCs/>
          <w:szCs w:val="22"/>
        </w:rPr>
        <w:t xml:space="preserve">                                            </w:t>
      </w:r>
      <w:r w:rsidR="009222C6" w:rsidRPr="00111E78">
        <w:rPr>
          <w:rFonts w:eastAsia="Calibri" w:cs="Arial"/>
          <w:b/>
          <w:bCs/>
          <w:szCs w:val="22"/>
        </w:rPr>
        <w:t xml:space="preserve"> </w:t>
      </w:r>
      <w:r w:rsidR="009222C6" w:rsidRPr="00111E78">
        <w:rPr>
          <w:rFonts w:eastAsia="Arial" w:cs="Arial"/>
          <w:b/>
          <w:bCs/>
          <w:szCs w:val="22"/>
        </w:rPr>
        <w:t xml:space="preserve">ΑΠΟΦΑΣΙΖΕΙ </w:t>
      </w:r>
      <w:r w:rsidR="00F34243">
        <w:rPr>
          <w:rFonts w:eastAsia="Arial" w:cs="Arial"/>
          <w:b/>
          <w:bCs/>
          <w:szCs w:val="22"/>
        </w:rPr>
        <w:t>ΟΜΟΦΩΝΑ</w:t>
      </w:r>
    </w:p>
    <w:p w:rsidR="00344509" w:rsidRPr="00344509" w:rsidRDefault="00344509" w:rsidP="00344509">
      <w:pPr>
        <w:pStyle w:val="a8"/>
        <w:spacing w:line="276" w:lineRule="auto"/>
        <w:ind w:left="-142"/>
        <w:jc w:val="both"/>
        <w:rPr>
          <w:rFonts w:ascii="Arial" w:eastAsia="Arial" w:hAnsi="Arial" w:cs="Arial"/>
          <w:bCs/>
          <w:i/>
          <w:iCs/>
          <w:color w:val="00000A"/>
          <w:kern w:val="1"/>
          <w:sz w:val="22"/>
          <w:szCs w:val="22"/>
          <w:shd w:val="clear" w:color="auto" w:fill="FFFFFF"/>
        </w:rPr>
      </w:pPr>
      <w:r w:rsidRPr="00344509">
        <w:rPr>
          <w:rStyle w:val="ae"/>
          <w:rFonts w:ascii="Arial" w:eastAsia="Bookman Old Style" w:hAnsi="Arial" w:cs="Arial"/>
          <w:i w:val="0"/>
          <w:spacing w:val="-3"/>
          <w:kern w:val="1"/>
          <w:sz w:val="22"/>
          <w:szCs w:val="22"/>
          <w:shd w:val="clear" w:color="auto" w:fill="FFFFFF"/>
        </w:rPr>
        <w:t>Εγκρίνει την 1</w:t>
      </w:r>
      <w:r w:rsidR="002457EA">
        <w:rPr>
          <w:rStyle w:val="ae"/>
          <w:rFonts w:ascii="Arial" w:eastAsia="Bookman Old Style" w:hAnsi="Arial" w:cs="Arial"/>
          <w:i w:val="0"/>
          <w:spacing w:val="-3"/>
          <w:kern w:val="1"/>
          <w:sz w:val="22"/>
          <w:szCs w:val="22"/>
          <w:shd w:val="clear" w:color="auto" w:fill="FFFFFF"/>
        </w:rPr>
        <w:t>4</w:t>
      </w:r>
      <w:r w:rsidRPr="00344509">
        <w:rPr>
          <w:rStyle w:val="ae"/>
          <w:rFonts w:ascii="Arial" w:eastAsia="Bookman Old Style" w:hAnsi="Arial" w:cs="Arial"/>
          <w:i w:val="0"/>
          <w:spacing w:val="-3"/>
          <w:kern w:val="1"/>
          <w:sz w:val="22"/>
          <w:szCs w:val="22"/>
          <w:shd w:val="clear" w:color="auto" w:fill="FFFFFF"/>
        </w:rPr>
        <w:t>η αναμόρφωση του προϋπολογισμού οικονομικού έτους 2020 ως κατωτέρω:</w:t>
      </w:r>
      <w:r w:rsidRPr="00344509">
        <w:rPr>
          <w:rFonts w:ascii="Arial" w:eastAsia="Arial" w:hAnsi="Arial" w:cs="Arial"/>
          <w:bCs/>
          <w:i/>
          <w:iCs/>
          <w:color w:val="00000A"/>
          <w:kern w:val="1"/>
          <w:sz w:val="22"/>
          <w:szCs w:val="22"/>
          <w:highlight w:val="white"/>
          <w:shd w:val="clear" w:color="auto" w:fill="FFFFFF"/>
        </w:rPr>
        <w:t xml:space="preserve"> </w:t>
      </w:r>
    </w:p>
    <w:p w:rsidR="00E32C3B" w:rsidRPr="007A1CF2" w:rsidRDefault="00E32C3B" w:rsidP="00E32C3B">
      <w:pPr>
        <w:pStyle w:val="ad"/>
        <w:rPr>
          <w:rFonts w:ascii="Calibri" w:hAnsi="Calibri" w:cs="Calibri"/>
          <w:b/>
          <w:bCs/>
          <w:iCs/>
          <w:sz w:val="22"/>
          <w:szCs w:val="22"/>
        </w:rPr>
      </w:pPr>
      <w:r w:rsidRPr="007A1CF2">
        <w:rPr>
          <w:rFonts w:ascii="Calibri" w:hAnsi="Calibri" w:cs="Calibri"/>
          <w:b/>
          <w:bCs/>
          <w:iCs/>
          <w:sz w:val="22"/>
          <w:szCs w:val="22"/>
        </w:rPr>
        <w:t xml:space="preserve">1.Αύξηση </w:t>
      </w:r>
      <w:proofErr w:type="spellStart"/>
      <w:r w:rsidRPr="007A1CF2">
        <w:rPr>
          <w:rFonts w:ascii="Calibri" w:hAnsi="Calibri" w:cs="Calibri"/>
          <w:b/>
          <w:bCs/>
          <w:iCs/>
          <w:sz w:val="22"/>
          <w:szCs w:val="22"/>
        </w:rPr>
        <w:t>Κ.Α.Εσόδων</w:t>
      </w:r>
      <w:proofErr w:type="spellEnd"/>
    </w:p>
    <w:tbl>
      <w:tblPr>
        <w:tblW w:w="978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93"/>
        <w:gridCol w:w="2693"/>
        <w:gridCol w:w="1560"/>
        <w:gridCol w:w="1559"/>
        <w:gridCol w:w="1559"/>
        <w:gridCol w:w="851"/>
      </w:tblGrid>
      <w:tr w:rsidR="00E32C3B" w:rsidRPr="007A1CF2" w:rsidTr="00E32C3B">
        <w:trPr>
          <w:trHeight w:val="67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</w:tcPr>
          <w:p w:rsidR="00E32C3B" w:rsidRPr="00E32C3B" w:rsidRDefault="00E32C3B" w:rsidP="0082077E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E32C3B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E32C3B" w:rsidRPr="00E32C3B" w:rsidRDefault="00E32C3B" w:rsidP="0082077E">
            <w:pPr>
              <w:pStyle w:val="af"/>
              <w:jc w:val="center"/>
              <w:rPr>
                <w:sz w:val="20"/>
                <w:szCs w:val="20"/>
              </w:rPr>
            </w:pPr>
            <w:r w:rsidRPr="00E32C3B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E32C3B" w:rsidRPr="00E32C3B" w:rsidRDefault="00E32C3B" w:rsidP="0082077E">
            <w:pPr>
              <w:pStyle w:val="af"/>
              <w:jc w:val="center"/>
              <w:rPr>
                <w:sz w:val="20"/>
                <w:szCs w:val="20"/>
              </w:rPr>
            </w:pPr>
            <w:r w:rsidRPr="00E32C3B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E32C3B" w:rsidRPr="00E32C3B" w:rsidRDefault="00E32C3B" w:rsidP="0082077E">
            <w:pPr>
              <w:pStyle w:val="af"/>
              <w:jc w:val="center"/>
              <w:rPr>
                <w:sz w:val="20"/>
                <w:szCs w:val="20"/>
              </w:rPr>
            </w:pPr>
            <w:proofErr w:type="spellStart"/>
            <w:r w:rsidRPr="00E32C3B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Προυπ</w:t>
            </w:r>
            <w:proofErr w:type="spellEnd"/>
            <w:r w:rsidRPr="00E32C3B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E32C3B" w:rsidRPr="00E32C3B" w:rsidRDefault="00E32C3B" w:rsidP="0082077E">
            <w:pPr>
              <w:pStyle w:val="af"/>
              <w:jc w:val="center"/>
              <w:rPr>
                <w:sz w:val="20"/>
                <w:szCs w:val="20"/>
              </w:rPr>
            </w:pPr>
            <w:r w:rsidRPr="00E32C3B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E32C3B" w:rsidRPr="00E32C3B" w:rsidRDefault="00E32C3B" w:rsidP="0082077E">
            <w:pPr>
              <w:pStyle w:val="af"/>
              <w:jc w:val="center"/>
              <w:rPr>
                <w:sz w:val="20"/>
                <w:szCs w:val="20"/>
              </w:rPr>
            </w:pPr>
            <w:r w:rsidRPr="00E32C3B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Διαμορφωθέντα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</w:tcPr>
          <w:p w:rsidR="00E32C3B" w:rsidRPr="00E32C3B" w:rsidRDefault="00E32C3B" w:rsidP="0082077E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E32C3B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Φορέας Χρηματοδότησης</w:t>
            </w:r>
          </w:p>
        </w:tc>
      </w:tr>
      <w:tr w:rsidR="00E32C3B" w:rsidRPr="007A1CF2" w:rsidTr="00E32C3B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1212.003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Επιχορήγηση ΟΑΕΔ για εισφορές ωφελούμενων από </w:t>
            </w:r>
            <w:proofErr w:type="spellStart"/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Προγραμμα</w:t>
            </w:r>
            <w:proofErr w:type="spellEnd"/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Κοινωφελούς Χαρακτήρα (</w:t>
            </w:r>
            <w:proofErr w:type="spellStart"/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παρ.ΙΔ</w:t>
            </w:r>
            <w:proofErr w:type="spellEnd"/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Ν.4152/2013)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0</w:t>
            </w: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88.000,00€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88.000,00€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B" w:rsidRPr="007A1CF2" w:rsidRDefault="00E32C3B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Επιχορήγηση ΟΑΕΔ</w:t>
            </w:r>
          </w:p>
        </w:tc>
      </w:tr>
      <w:tr w:rsidR="00E32C3B" w:rsidRPr="007A1CF2" w:rsidTr="00E32C3B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4111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Εισφορά υπέρ του Δημοσίου στις αποδοχές και τα έξοδα παράστασης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366.000,00€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75.000,00€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441.000,00€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B" w:rsidRPr="007A1CF2" w:rsidRDefault="00E32C3B" w:rsidP="0082077E"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32C3B" w:rsidRPr="007A1CF2" w:rsidTr="00E32C3B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4122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proofErr w:type="spellStart"/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Φοροί</w:t>
            </w:r>
            <w:proofErr w:type="spellEnd"/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και χαρτόσημο Δημάρχων Αντιδημάρχων μελών Δημοτικών Συμβουλίων και λοιπών συλλογικών οργάνων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3.200,00€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200,00€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3.400,00€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B" w:rsidRPr="007A1CF2" w:rsidRDefault="00E32C3B" w:rsidP="0082077E"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32C3B" w:rsidRPr="007A1CF2" w:rsidTr="00E32C3B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4131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Εισφορές σε ασφαλιστικούς οργανισμούς και ταμεία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1.355.000,00€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20.000,00€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1.375.000,00€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B" w:rsidRPr="007A1CF2" w:rsidRDefault="00E32C3B" w:rsidP="0082077E"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32C3B" w:rsidRPr="007A1CF2" w:rsidTr="00E32C3B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4142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Λοιπές κρατήσεις υπέρ τρίτων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360.000,00€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100.000,00€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460.000,00€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B" w:rsidRPr="007A1CF2" w:rsidRDefault="00E32C3B" w:rsidP="0082077E"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32C3B" w:rsidRPr="007A1CF2" w:rsidTr="00E32C3B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B" w:rsidRPr="007A1CF2" w:rsidRDefault="00E32C3B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Σύνολο αύξησης εσόδων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E7" w:rsidRDefault="00E45F30" w:rsidP="0082077E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 </w:t>
            </w:r>
          </w:p>
          <w:p w:rsidR="00E32C3B" w:rsidRPr="007A1CF2" w:rsidRDefault="00B474E7" w:rsidP="0082077E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   </w:t>
            </w:r>
            <w:r w:rsidR="00E32C3B" w:rsidRPr="007A1CF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283.200,00 €</w:t>
            </w:r>
          </w:p>
          <w:p w:rsidR="00E32C3B" w:rsidRPr="007A1CF2" w:rsidRDefault="00E32C3B" w:rsidP="0082077E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</w:tbl>
    <w:p w:rsidR="00E77FC0" w:rsidRDefault="00E77FC0" w:rsidP="00344509">
      <w:pPr>
        <w:pStyle w:val="a8"/>
        <w:spacing w:line="276" w:lineRule="auto"/>
        <w:ind w:left="-142"/>
        <w:jc w:val="both"/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shd w:val="clear" w:color="auto" w:fill="FFFFFF"/>
        </w:rPr>
      </w:pPr>
    </w:p>
    <w:p w:rsidR="00E77FC0" w:rsidRDefault="00E77FC0" w:rsidP="00344509">
      <w:pPr>
        <w:pStyle w:val="a8"/>
        <w:spacing w:line="276" w:lineRule="auto"/>
        <w:ind w:left="-142"/>
        <w:jc w:val="both"/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shd w:val="clear" w:color="auto" w:fill="FFFFFF"/>
        </w:rPr>
      </w:pPr>
    </w:p>
    <w:p w:rsidR="00344509" w:rsidRDefault="00344509" w:rsidP="00344509">
      <w:pPr>
        <w:pStyle w:val="ad"/>
        <w:rPr>
          <w:rFonts w:ascii="Arial" w:hAnsi="Arial" w:cs="Arial"/>
          <w:b/>
          <w:bCs/>
          <w:iCs/>
          <w:sz w:val="22"/>
          <w:szCs w:val="22"/>
        </w:rPr>
      </w:pPr>
    </w:p>
    <w:p w:rsidR="00344509" w:rsidRDefault="00344509" w:rsidP="00344509">
      <w:pPr>
        <w:pStyle w:val="ad"/>
        <w:rPr>
          <w:rFonts w:ascii="Arial" w:hAnsi="Arial" w:cs="Arial"/>
          <w:b/>
          <w:bCs/>
          <w:iCs/>
          <w:sz w:val="22"/>
          <w:szCs w:val="22"/>
        </w:rPr>
      </w:pPr>
      <w:r w:rsidRPr="00701BD4">
        <w:rPr>
          <w:rFonts w:ascii="Arial" w:hAnsi="Arial" w:cs="Arial"/>
          <w:b/>
          <w:bCs/>
          <w:iCs/>
          <w:sz w:val="22"/>
          <w:szCs w:val="22"/>
        </w:rPr>
        <w:t xml:space="preserve">2.Μείωση </w:t>
      </w:r>
      <w:proofErr w:type="spellStart"/>
      <w:r w:rsidRPr="00701BD4">
        <w:rPr>
          <w:rFonts w:ascii="Arial" w:hAnsi="Arial" w:cs="Arial"/>
          <w:b/>
          <w:bCs/>
          <w:iCs/>
          <w:sz w:val="22"/>
          <w:szCs w:val="22"/>
        </w:rPr>
        <w:t>Κ.Α.Εξόδων</w:t>
      </w:r>
      <w:proofErr w:type="spellEnd"/>
    </w:p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276"/>
        <w:gridCol w:w="2409"/>
        <w:gridCol w:w="1276"/>
        <w:gridCol w:w="1701"/>
        <w:gridCol w:w="1418"/>
        <w:gridCol w:w="1275"/>
      </w:tblGrid>
      <w:tr w:rsidR="00E32C3B" w:rsidRPr="007A1CF2" w:rsidTr="00E32C3B">
        <w:trPr>
          <w:trHeight w:val="675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</w:tcPr>
          <w:p w:rsidR="00E32C3B" w:rsidRPr="007A1CF2" w:rsidRDefault="00E32C3B" w:rsidP="0082077E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α/α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E32C3B" w:rsidRPr="007A1CF2" w:rsidRDefault="00E32C3B" w:rsidP="0082077E">
            <w:pPr>
              <w:pStyle w:val="af"/>
              <w:jc w:val="center"/>
            </w:pPr>
            <w:r w:rsidRPr="007A1CF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Κ.Α.Ε.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E32C3B" w:rsidRPr="007A1CF2" w:rsidRDefault="00E32C3B" w:rsidP="0082077E">
            <w:pPr>
              <w:pStyle w:val="af"/>
              <w:jc w:val="center"/>
            </w:pPr>
            <w:r w:rsidRPr="007A1CF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Περιγραφή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E32C3B" w:rsidRPr="007A1CF2" w:rsidRDefault="00E32C3B" w:rsidP="0082077E">
            <w:pPr>
              <w:pStyle w:val="af"/>
              <w:jc w:val="center"/>
            </w:pPr>
            <w:proofErr w:type="spellStart"/>
            <w:r w:rsidRPr="007A1CF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Προυπ</w:t>
            </w:r>
            <w:proofErr w:type="spellEnd"/>
            <w:r w:rsidRPr="007A1CF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/ντα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E32C3B" w:rsidRPr="007A1CF2" w:rsidRDefault="00E32C3B" w:rsidP="0082077E">
            <w:pPr>
              <w:pStyle w:val="af"/>
              <w:jc w:val="center"/>
            </w:pPr>
            <w:r w:rsidRPr="007A1CF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Αναμόρφωση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E32C3B" w:rsidRPr="007A1CF2" w:rsidRDefault="00E32C3B" w:rsidP="0082077E">
            <w:pPr>
              <w:pStyle w:val="af"/>
              <w:jc w:val="center"/>
            </w:pPr>
            <w:r w:rsidRPr="007A1CF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Διαμορφωθέντα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</w:tcPr>
          <w:p w:rsidR="00E32C3B" w:rsidRDefault="00E32C3B" w:rsidP="0082077E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Φορέας </w:t>
            </w:r>
            <w:proofErr w:type="spellStart"/>
            <w:r w:rsidRPr="007A1CF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Χρηματοδό</w:t>
            </w:r>
            <w:proofErr w:type="spellEnd"/>
          </w:p>
          <w:p w:rsidR="00E32C3B" w:rsidRPr="007A1CF2" w:rsidRDefault="00E32C3B" w:rsidP="0082077E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proofErr w:type="spellStart"/>
            <w:r w:rsidRPr="007A1CF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τησης</w:t>
            </w:r>
            <w:proofErr w:type="spellEnd"/>
          </w:p>
        </w:tc>
      </w:tr>
      <w:tr w:rsidR="00E32C3B" w:rsidRPr="007A1CF2" w:rsidTr="00E32C3B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64/7341.025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Ενέργειες για την προετοιμασία Αίτησης Χρηματοδότησης (πράξη Ανοικτό Κέντρο Εμπορίου Δήμου </w:t>
            </w:r>
            <w:proofErr w:type="spellStart"/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Λεβαδέων</w:t>
            </w:r>
            <w:proofErr w:type="spellEnd"/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19.964,00</w:t>
            </w: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Pr="007A1CF2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19.964,00</w:t>
            </w: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30" w:rsidRDefault="00E45F30" w:rsidP="0082077E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E45F30" w:rsidRDefault="00E45F30" w:rsidP="0082077E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E32C3B" w:rsidRPr="007A1CF2" w:rsidRDefault="00E32C3B" w:rsidP="0082077E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ΕΤΠΑ </w:t>
            </w:r>
          </w:p>
        </w:tc>
      </w:tr>
      <w:tr w:rsidR="00E32C3B" w:rsidRPr="007A1CF2" w:rsidTr="00E32C3B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Σύνολο μείωσης εξόδων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30" w:rsidRDefault="00E45F30" w:rsidP="0082077E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:rsidR="00E32C3B" w:rsidRPr="007A1CF2" w:rsidRDefault="00E32C3B" w:rsidP="0082077E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7A1CF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19.964,00€</w:t>
            </w:r>
          </w:p>
          <w:p w:rsidR="00E32C3B" w:rsidRPr="007A1CF2" w:rsidRDefault="00E32C3B" w:rsidP="0082077E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B" w:rsidRPr="007A1CF2" w:rsidRDefault="00E32C3B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:rsidR="00344509" w:rsidRDefault="00344509" w:rsidP="00344509">
      <w:pPr>
        <w:jc w:val="both"/>
        <w:rPr>
          <w:rFonts w:ascii="Arial" w:hAnsi="Arial" w:cs="Arial"/>
          <w:iCs/>
          <w:sz w:val="22"/>
          <w:szCs w:val="22"/>
        </w:rPr>
      </w:pPr>
      <w:r w:rsidRPr="00701BD4">
        <w:rPr>
          <w:rFonts w:ascii="Arial" w:hAnsi="Arial" w:cs="Arial"/>
          <w:b/>
          <w:bCs/>
          <w:iCs/>
          <w:sz w:val="22"/>
          <w:szCs w:val="22"/>
        </w:rPr>
        <w:t xml:space="preserve">3. </w:t>
      </w:r>
      <w:r w:rsidRPr="00701BD4">
        <w:rPr>
          <w:rFonts w:ascii="Arial" w:hAnsi="Arial" w:cs="Arial"/>
          <w:iCs/>
          <w:sz w:val="22"/>
          <w:szCs w:val="22"/>
        </w:rPr>
        <w:t xml:space="preserve">Το ποσό των </w:t>
      </w:r>
      <w:r w:rsidR="00E32C3B">
        <w:rPr>
          <w:rFonts w:ascii="Arial" w:hAnsi="Arial" w:cs="Arial"/>
          <w:b/>
          <w:iCs/>
          <w:sz w:val="22"/>
          <w:szCs w:val="22"/>
        </w:rPr>
        <w:t>303.164,00</w:t>
      </w:r>
      <w:r w:rsidRPr="00701BD4">
        <w:rPr>
          <w:rFonts w:ascii="Arial" w:hAnsi="Arial" w:cs="Arial"/>
          <w:b/>
          <w:bCs/>
          <w:iCs/>
          <w:sz w:val="22"/>
          <w:szCs w:val="22"/>
        </w:rPr>
        <w:t>€</w:t>
      </w:r>
      <w:r w:rsidRPr="00701BD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μεταφέρεται</w:t>
      </w:r>
      <w:r w:rsidRPr="00701BD4">
        <w:rPr>
          <w:rFonts w:ascii="Arial" w:hAnsi="Arial" w:cs="Arial"/>
          <w:iCs/>
          <w:sz w:val="22"/>
          <w:szCs w:val="22"/>
        </w:rPr>
        <w:t xml:space="preserve"> στο αποθεματικό </w:t>
      </w:r>
      <w:r>
        <w:rPr>
          <w:rFonts w:ascii="Arial" w:hAnsi="Arial" w:cs="Arial"/>
          <w:iCs/>
          <w:sz w:val="22"/>
          <w:szCs w:val="22"/>
        </w:rPr>
        <w:t>το οποίο ενισχύεται ισόποσα.</w:t>
      </w:r>
    </w:p>
    <w:p w:rsidR="00344509" w:rsidRDefault="00344509" w:rsidP="00344509">
      <w:pPr>
        <w:jc w:val="both"/>
        <w:rPr>
          <w:rFonts w:ascii="Arial" w:hAnsi="Arial" w:cs="Arial"/>
          <w:iCs/>
          <w:sz w:val="22"/>
          <w:szCs w:val="22"/>
        </w:rPr>
      </w:pPr>
      <w:r w:rsidRPr="00416B27">
        <w:rPr>
          <w:rFonts w:ascii="Arial" w:hAnsi="Arial" w:cs="Arial"/>
          <w:b/>
          <w:iCs/>
          <w:sz w:val="22"/>
          <w:szCs w:val="22"/>
        </w:rPr>
        <w:t>4</w:t>
      </w:r>
      <w:r>
        <w:rPr>
          <w:rFonts w:ascii="Arial" w:hAnsi="Arial" w:cs="Arial"/>
          <w:iCs/>
          <w:sz w:val="22"/>
          <w:szCs w:val="22"/>
        </w:rPr>
        <w:t>.</w:t>
      </w:r>
      <w:r w:rsidRPr="00701BD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Α</w:t>
      </w:r>
      <w:r w:rsidRPr="00701BD4">
        <w:rPr>
          <w:rFonts w:ascii="Arial" w:hAnsi="Arial" w:cs="Arial"/>
          <w:iCs/>
          <w:sz w:val="22"/>
          <w:szCs w:val="22"/>
        </w:rPr>
        <w:t>πό την πίστωση του αποθεματικού κεφαλαίου (Κ.Α. 9111) το ποσό των</w:t>
      </w:r>
      <w:r w:rsidRPr="00701BD4">
        <w:rPr>
          <w:rFonts w:ascii="Arial" w:hAnsi="Arial" w:cs="Arial"/>
          <w:b/>
          <w:iCs/>
          <w:sz w:val="22"/>
          <w:szCs w:val="22"/>
        </w:rPr>
        <w:t xml:space="preserve"> </w:t>
      </w:r>
      <w:r w:rsidR="00F93760">
        <w:rPr>
          <w:rFonts w:ascii="Arial" w:hAnsi="Arial" w:cs="Arial"/>
          <w:b/>
          <w:iCs/>
          <w:sz w:val="22"/>
          <w:szCs w:val="22"/>
        </w:rPr>
        <w:t>345.974,40</w:t>
      </w:r>
      <w:r w:rsidRPr="00701BD4">
        <w:rPr>
          <w:rFonts w:ascii="Arial" w:hAnsi="Arial" w:cs="Arial"/>
          <w:b/>
          <w:iCs/>
          <w:sz w:val="22"/>
          <w:szCs w:val="22"/>
        </w:rPr>
        <w:t xml:space="preserve">€  </w:t>
      </w:r>
      <w:r w:rsidRPr="00F93760">
        <w:rPr>
          <w:rFonts w:ascii="Arial" w:hAnsi="Arial" w:cs="Arial"/>
          <w:iCs/>
          <w:sz w:val="22"/>
          <w:szCs w:val="22"/>
        </w:rPr>
        <w:t>μεταφέρεται σ</w:t>
      </w:r>
      <w:r w:rsidRPr="00701BD4">
        <w:rPr>
          <w:rFonts w:ascii="Arial" w:hAnsi="Arial" w:cs="Arial"/>
          <w:iCs/>
          <w:sz w:val="22"/>
          <w:szCs w:val="22"/>
        </w:rPr>
        <w:t xml:space="preserve">το σκέλος των εξόδων </w:t>
      </w:r>
      <w:r>
        <w:rPr>
          <w:rFonts w:ascii="Arial" w:hAnsi="Arial" w:cs="Arial"/>
          <w:iCs/>
          <w:sz w:val="22"/>
          <w:szCs w:val="22"/>
        </w:rPr>
        <w:t>προς</w:t>
      </w:r>
      <w:r w:rsidRPr="00701BD4">
        <w:rPr>
          <w:rFonts w:ascii="Arial" w:hAnsi="Arial" w:cs="Arial"/>
          <w:iCs/>
          <w:sz w:val="22"/>
          <w:szCs w:val="22"/>
        </w:rPr>
        <w:t xml:space="preserve"> ενίσχυση </w:t>
      </w:r>
      <w:r w:rsidR="00D6629F">
        <w:rPr>
          <w:rFonts w:ascii="Arial" w:hAnsi="Arial" w:cs="Arial"/>
          <w:iCs/>
          <w:sz w:val="22"/>
          <w:szCs w:val="22"/>
        </w:rPr>
        <w:t xml:space="preserve">/δημιουργία </w:t>
      </w:r>
      <w:r w:rsidRPr="00701BD4">
        <w:rPr>
          <w:rFonts w:ascii="Arial" w:hAnsi="Arial" w:cs="Arial"/>
          <w:iCs/>
          <w:sz w:val="22"/>
          <w:szCs w:val="22"/>
        </w:rPr>
        <w:t xml:space="preserve">Κ.Α. Εξόδων </w:t>
      </w:r>
      <w:r>
        <w:rPr>
          <w:rFonts w:ascii="Arial" w:hAnsi="Arial" w:cs="Arial"/>
          <w:iCs/>
          <w:sz w:val="22"/>
          <w:szCs w:val="22"/>
        </w:rPr>
        <w:t>:</w:t>
      </w:r>
    </w:p>
    <w:p w:rsidR="001D728D" w:rsidRDefault="001D728D" w:rsidP="00344509">
      <w:pPr>
        <w:jc w:val="both"/>
        <w:rPr>
          <w:rFonts w:ascii="Arial" w:hAnsi="Arial" w:cs="Arial"/>
          <w:iCs/>
          <w:sz w:val="22"/>
          <w:szCs w:val="22"/>
        </w:rPr>
      </w:pPr>
    </w:p>
    <w:p w:rsidR="00344509" w:rsidRPr="00701BD4" w:rsidRDefault="00344509" w:rsidP="00344509">
      <w:pPr>
        <w:pStyle w:val="ad"/>
        <w:rPr>
          <w:rFonts w:ascii="Arial" w:hAnsi="Arial" w:cs="Arial"/>
          <w:sz w:val="22"/>
          <w:szCs w:val="22"/>
        </w:rPr>
      </w:pPr>
      <w:r w:rsidRPr="00701BD4">
        <w:rPr>
          <w:rFonts w:ascii="Arial" w:hAnsi="Arial" w:cs="Arial"/>
          <w:b/>
          <w:bCs/>
          <w:iCs/>
          <w:sz w:val="22"/>
          <w:szCs w:val="22"/>
        </w:rPr>
        <w:t>Αύξηση</w:t>
      </w:r>
      <w:r w:rsidR="00686E07">
        <w:rPr>
          <w:rFonts w:ascii="Arial" w:hAnsi="Arial" w:cs="Arial"/>
          <w:b/>
          <w:bCs/>
          <w:iCs/>
          <w:sz w:val="22"/>
          <w:szCs w:val="22"/>
        </w:rPr>
        <w:t xml:space="preserve">/δημιουργία </w:t>
      </w:r>
      <w:r w:rsidRPr="00701BD4"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 w:rsidRPr="00701BD4">
        <w:rPr>
          <w:rFonts w:ascii="Arial" w:hAnsi="Arial" w:cs="Arial"/>
          <w:b/>
          <w:iCs/>
          <w:color w:val="000000"/>
          <w:sz w:val="22"/>
          <w:szCs w:val="22"/>
        </w:rPr>
        <w:t>Κ.Α. Εξόδων</w:t>
      </w:r>
    </w:p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355"/>
        <w:gridCol w:w="2268"/>
        <w:gridCol w:w="1418"/>
        <w:gridCol w:w="1276"/>
        <w:gridCol w:w="1559"/>
        <w:gridCol w:w="1417"/>
      </w:tblGrid>
      <w:tr w:rsidR="00344509" w:rsidRPr="00297AFD" w:rsidTr="00F93760">
        <w:trPr>
          <w:trHeight w:val="701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344509" w:rsidRPr="00F93760" w:rsidRDefault="00344509" w:rsidP="00344509">
            <w:pPr>
              <w:pStyle w:val="af"/>
              <w:jc w:val="center"/>
              <w:rPr>
                <w:sz w:val="20"/>
                <w:szCs w:val="20"/>
              </w:rPr>
            </w:pPr>
            <w:r w:rsidRPr="00F93760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344509" w:rsidRPr="00F93760" w:rsidRDefault="00344509" w:rsidP="00344509">
            <w:pPr>
              <w:pStyle w:val="af"/>
              <w:jc w:val="center"/>
              <w:rPr>
                <w:sz w:val="20"/>
                <w:szCs w:val="20"/>
              </w:rPr>
            </w:pPr>
            <w:r w:rsidRPr="00F93760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344509" w:rsidRPr="00F93760" w:rsidRDefault="00344509" w:rsidP="00344509">
            <w:pPr>
              <w:pStyle w:val="af"/>
              <w:jc w:val="center"/>
              <w:rPr>
                <w:sz w:val="20"/>
                <w:szCs w:val="20"/>
              </w:rPr>
            </w:pPr>
            <w:r w:rsidRPr="00F93760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344509" w:rsidRPr="00F93760" w:rsidRDefault="00344509" w:rsidP="00344509">
            <w:pPr>
              <w:pStyle w:val="af"/>
              <w:jc w:val="center"/>
              <w:rPr>
                <w:sz w:val="20"/>
                <w:szCs w:val="20"/>
              </w:rPr>
            </w:pPr>
            <w:proofErr w:type="spellStart"/>
            <w:r w:rsidRPr="00F93760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Προυπ</w:t>
            </w:r>
            <w:proofErr w:type="spellEnd"/>
            <w:r w:rsidRPr="00F93760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/ντα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344509" w:rsidRPr="00F93760" w:rsidRDefault="00344509" w:rsidP="00344509">
            <w:pPr>
              <w:pStyle w:val="af"/>
              <w:jc w:val="center"/>
              <w:rPr>
                <w:sz w:val="20"/>
                <w:szCs w:val="20"/>
              </w:rPr>
            </w:pPr>
            <w:proofErr w:type="spellStart"/>
            <w:r w:rsidRPr="00F93760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Αναμόρ</w:t>
            </w:r>
            <w:proofErr w:type="spellEnd"/>
            <w:r w:rsidRPr="00F93760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93760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φωση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344509" w:rsidRPr="00F93760" w:rsidRDefault="00344509" w:rsidP="00344509">
            <w:pPr>
              <w:pStyle w:val="af"/>
              <w:jc w:val="center"/>
              <w:rPr>
                <w:sz w:val="20"/>
                <w:szCs w:val="20"/>
              </w:rPr>
            </w:pPr>
            <w:r w:rsidRPr="00F93760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Διαμορφωθέντα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344509" w:rsidRPr="00F93760" w:rsidRDefault="00344509" w:rsidP="00344509">
            <w:pPr>
              <w:pStyle w:val="af"/>
              <w:jc w:val="center"/>
              <w:rPr>
                <w:sz w:val="20"/>
                <w:szCs w:val="20"/>
              </w:rPr>
            </w:pPr>
            <w:r w:rsidRPr="00F93760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Φορέας Χρηματοδότησης</w:t>
            </w:r>
          </w:p>
        </w:tc>
      </w:tr>
      <w:tr w:rsidR="00F93760" w:rsidRPr="00297AFD" w:rsidTr="00F93760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00/6222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Τηλεφωνικά, τηλεγραφικά και τηλετυπία τέλη εσωτερικού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37.000</w:t>
            </w: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10.000,00€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47.000,00€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60" w:rsidRPr="00F4666B" w:rsidRDefault="00F93760" w:rsidP="0082077E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93760" w:rsidRPr="00297AFD" w:rsidTr="00F93760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Νέος Κ.Α.</w:t>
            </w:r>
          </w:p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00/6721.005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Ετήσια  συνδρομή στο Δίκτυο </w:t>
            </w:r>
            <w:proofErr w:type="spellStart"/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΄΄Βιώσιμη</w:t>
            </w:r>
            <w:proofErr w:type="spellEnd"/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Πόλη''</w:t>
            </w:r>
          </w:p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2.000,00€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2.000,00€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60" w:rsidRPr="00F4666B" w:rsidRDefault="00F93760" w:rsidP="0082077E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93760" w:rsidRPr="00297AFD" w:rsidTr="00F93760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00/8211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Εισφορά υπέρ του Δημοσίου στις αποδοχές και τα έξοδα παράστασης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366.000,00€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75.000</w:t>
            </w:r>
            <w:r w:rsidRPr="00F4666B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,00</w:t>
            </w: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441.000,00€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60" w:rsidRPr="00F4666B" w:rsidRDefault="00F93760" w:rsidP="0082077E"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93760" w:rsidRPr="00297AFD" w:rsidTr="00F93760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00/8222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proofErr w:type="spellStart"/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Φοροί</w:t>
            </w:r>
            <w:proofErr w:type="spellEnd"/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και χαρτόσημο Δημάρχων Αντιδημάρχων μελών Δημοτικών Συμβουλίων και λοιπών συλλογικών οργάνων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3.200,00€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200,00€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3.400,00€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60" w:rsidRPr="00F4666B" w:rsidRDefault="00F93760" w:rsidP="0082077E"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93760" w:rsidRPr="00297AFD" w:rsidTr="00F93760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00/8231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Εισφορές σε ασφαλιστικούς οργανισμούς και ταμεία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1.355.000,00€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20.000,00€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1.375.000,00€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60" w:rsidRPr="00F4666B" w:rsidRDefault="00F93760" w:rsidP="0082077E"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93760" w:rsidRPr="00297AFD" w:rsidTr="00F93760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00/8242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Λοιπές κρατήσεις υπέρ τρίτων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360.000,00€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100.000,00€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460.000,00€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60" w:rsidRPr="00F4666B" w:rsidRDefault="00F93760" w:rsidP="0082077E"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93760" w:rsidRPr="00297AFD" w:rsidTr="00F93760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E45F30" w:rsidRDefault="00F93760" w:rsidP="0082077E">
            <w:pPr>
              <w:pStyle w:val="af"/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E45F30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15/6061.004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E45F30" w:rsidRDefault="00F93760" w:rsidP="0082077E">
            <w:pPr>
              <w:pStyle w:val="af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E45F30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Παροχές σε είδος-είδη ατομικής προστασίας εργαζομένων (ένδυση κλπ)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E45F30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E45F30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3.500,00€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E45F30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E45F30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4.500,00€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E45F30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E45F30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8.000,00€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60" w:rsidRPr="00E45F30" w:rsidRDefault="00F93760" w:rsidP="0082077E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E45F30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93760" w:rsidRPr="00297AFD" w:rsidTr="00F93760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15/6271.001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proofErr w:type="spellStart"/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Υδρευση</w:t>
            </w:r>
            <w:proofErr w:type="spellEnd"/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Παιδικών Σταθμών, ΚΑΠΗ, Δημοτικού Ωδείου και λοιπών κτιρίων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3.650,00€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250,00€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3.900,00€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60" w:rsidRPr="00F4666B" w:rsidRDefault="00F93760" w:rsidP="0082077E"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93760" w:rsidRPr="00297AFD" w:rsidTr="00F93760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15/6271.002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proofErr w:type="spellStart"/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Υδρευση</w:t>
            </w:r>
            <w:proofErr w:type="spellEnd"/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αθλητικών εγκαταστάσεων - γηπέδων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5.000,00€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4.000,00€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9.000,00€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60" w:rsidRPr="00F4666B" w:rsidRDefault="00F93760" w:rsidP="0082077E"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93760" w:rsidRPr="00297AFD" w:rsidTr="00F93760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15/6271.003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proofErr w:type="spellStart"/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Υδρευση</w:t>
            </w:r>
            <w:proofErr w:type="spellEnd"/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πλατειών - παιδικών χαρών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1.600,00€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1.000,00€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2.600,00€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60" w:rsidRPr="00F4666B" w:rsidRDefault="00F93760" w:rsidP="0082077E"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93760" w:rsidRPr="00297AFD" w:rsidTr="00F93760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Νέος Κ.Α.</w:t>
            </w:r>
          </w:p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30/6279.004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Μετατοπίσεις-Παραλλαγές δικτύου ΔΕΔΔΗΕ  Α.Ε.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7.000,00€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7.000,00€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60" w:rsidRPr="00F4666B" w:rsidRDefault="00F93760" w:rsidP="0082077E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93760" w:rsidRPr="00297AFD" w:rsidTr="00F93760">
        <w:trPr>
          <w:trHeight w:val="9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30/6662.007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proofErr w:type="spellStart"/>
            <w:r w:rsidRPr="00F4666B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Προμήθεια</w:t>
            </w:r>
            <w:proofErr w:type="spellEnd"/>
            <w:r w:rsidRPr="00F4666B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666B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σκυροδέματος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7.457,40€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9.994,40€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17.451,80€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60" w:rsidRPr="00F4666B" w:rsidRDefault="00F93760" w:rsidP="0082077E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93760" w:rsidRPr="00297AFD" w:rsidTr="00F93760">
        <w:trPr>
          <w:trHeight w:val="9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45/6271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Ύδρευση δημοτικών κτιρίων </w:t>
            </w:r>
            <w:proofErr w:type="spellStart"/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κ.λ.π</w:t>
            </w:r>
            <w:proofErr w:type="spellEnd"/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3.000,00€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200,00€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3.200,00€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60" w:rsidRPr="00F4666B" w:rsidRDefault="00F93760" w:rsidP="0082077E"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93760" w:rsidRPr="00297AFD" w:rsidTr="00F93760">
        <w:trPr>
          <w:trHeight w:val="9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60/6041.000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Τακτικές αποδοχές εκτάκτων υπαλλήλων Παιδικών Σταθμών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179.362,00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10.200,00</w:t>
            </w: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189.562,00€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60" w:rsidRPr="00F4666B" w:rsidRDefault="00F93760" w:rsidP="0082077E"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93760" w:rsidRPr="00297AFD" w:rsidTr="00F93760">
        <w:trPr>
          <w:trHeight w:val="9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60/6054.001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Εργοδοτικές </w:t>
            </w:r>
            <w:proofErr w:type="spellStart"/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εισφορες</w:t>
            </w:r>
            <w:proofErr w:type="spellEnd"/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ΙΚΑ (ΕΦΚΑ) εκτάκτων υπαλλήλων Παιδικών Σταθμών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46.502,00€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2.800,00€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49.302,00€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60" w:rsidRPr="00F4666B" w:rsidRDefault="00F93760" w:rsidP="0082077E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93760" w:rsidRPr="00297AFD" w:rsidTr="00F93760">
        <w:trPr>
          <w:trHeight w:val="9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60/6726.001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Εισφορές(ωφελούμενων και εργοδότη) μέσω Προγραμμάτων Κοινωφελούς Χαρακτήρα (</w:t>
            </w:r>
            <w:proofErr w:type="spellStart"/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παρ.ΙΔ</w:t>
            </w:r>
            <w:proofErr w:type="spellEnd"/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Ν.4152/2013)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101.418,00€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88.000,00€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189.418,00€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60" w:rsidRPr="00F4666B" w:rsidRDefault="00F93760" w:rsidP="0082077E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Επιχορήγηση ΟΑΕΔ</w:t>
            </w:r>
          </w:p>
        </w:tc>
      </w:tr>
      <w:tr w:rsidR="00F93760" w:rsidRPr="00297AFD" w:rsidTr="00F93760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70/6271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Ύδρευση δημοτικών κτιρίων </w:t>
            </w:r>
            <w:proofErr w:type="spellStart"/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κ.λ.π</w:t>
            </w:r>
            <w:proofErr w:type="spellEnd"/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1.850</w:t>
            </w: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2.150,00€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4.000,00€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60" w:rsidRDefault="00F93760" w:rsidP="0082077E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  <w:p w:rsidR="001D728D" w:rsidRDefault="001D728D" w:rsidP="0082077E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1D728D" w:rsidRDefault="001D728D" w:rsidP="0082077E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1D728D" w:rsidRDefault="001D728D" w:rsidP="0082077E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1D728D" w:rsidRPr="00F4666B" w:rsidRDefault="001D728D" w:rsidP="0082077E"/>
        </w:tc>
      </w:tr>
      <w:tr w:rsidR="00F93760" w:rsidRPr="00297AFD" w:rsidTr="00F93760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Νέος Κ.Α.</w:t>
            </w:r>
          </w:p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70/7135.003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Προμήθεια μηχανισμού ρολογιού Λιβαδειάς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8.680,00€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60" w:rsidRPr="00F4666B" w:rsidRDefault="00F93760" w:rsidP="0082077E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8.680,00€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60" w:rsidRPr="00F4666B" w:rsidRDefault="00F93760" w:rsidP="0082077E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93760" w:rsidRPr="00297AFD" w:rsidTr="00F93760">
        <w:trPr>
          <w:trHeight w:val="1172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F93760" w:rsidRPr="00F4666B" w:rsidRDefault="00F93760" w:rsidP="0082077E">
            <w:pPr>
              <w:pStyle w:val="af"/>
              <w:snapToGrid w:val="0"/>
            </w:pPr>
            <w:r w:rsidRPr="00F4666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Σύνολο αύξησης εξόδων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:rsidR="00F93760" w:rsidRPr="00F4666B" w:rsidRDefault="00F93760" w:rsidP="0082077E">
            <w:pPr>
              <w:pStyle w:val="af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4666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345.974,40€</w:t>
            </w:r>
          </w:p>
          <w:p w:rsidR="00F93760" w:rsidRPr="00F4666B" w:rsidRDefault="00F93760" w:rsidP="0082077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F93760" w:rsidRPr="00F4666B" w:rsidRDefault="00F93760" w:rsidP="0082077E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:rsidR="00344509" w:rsidRPr="00701BD4" w:rsidRDefault="00344509" w:rsidP="00B474E7">
      <w:pPr>
        <w:pStyle w:val="ad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01BD4">
        <w:rPr>
          <w:rFonts w:ascii="Arial" w:hAnsi="Arial" w:cs="Arial"/>
          <w:iCs/>
          <w:sz w:val="22"/>
          <w:szCs w:val="22"/>
        </w:rPr>
        <w:t xml:space="preserve">Από την παραπάνω αναμόρφωση  του προϋπολογισμού το αποθεματικό </w:t>
      </w:r>
      <w:r>
        <w:rPr>
          <w:rFonts w:ascii="Arial" w:hAnsi="Arial" w:cs="Arial"/>
          <w:iCs/>
          <w:sz w:val="22"/>
          <w:szCs w:val="22"/>
        </w:rPr>
        <w:t>μειώνεται</w:t>
      </w:r>
      <w:r w:rsidRPr="00701BD4">
        <w:rPr>
          <w:rFonts w:ascii="Arial" w:hAnsi="Arial" w:cs="Arial"/>
          <w:iCs/>
          <w:sz w:val="22"/>
          <w:szCs w:val="22"/>
        </w:rPr>
        <w:t xml:space="preserve"> κατά </w:t>
      </w:r>
      <w:r w:rsidR="00F93760" w:rsidRPr="00F93760">
        <w:rPr>
          <w:rFonts w:ascii="Arial" w:hAnsi="Arial" w:cs="Arial"/>
          <w:b/>
          <w:iCs/>
          <w:sz w:val="22"/>
          <w:szCs w:val="22"/>
        </w:rPr>
        <w:t>4</w:t>
      </w:r>
      <w:r w:rsidRPr="00701BD4">
        <w:rPr>
          <w:rFonts w:ascii="Arial" w:hAnsi="Arial" w:cs="Arial"/>
          <w:b/>
          <w:iCs/>
          <w:sz w:val="22"/>
          <w:szCs w:val="22"/>
        </w:rPr>
        <w:t>2.</w:t>
      </w:r>
      <w:r w:rsidR="00F93760">
        <w:rPr>
          <w:rFonts w:ascii="Arial" w:hAnsi="Arial" w:cs="Arial"/>
          <w:b/>
          <w:iCs/>
          <w:sz w:val="22"/>
          <w:szCs w:val="22"/>
        </w:rPr>
        <w:t>810,40</w:t>
      </w:r>
      <w:r w:rsidRPr="00701BD4">
        <w:rPr>
          <w:rFonts w:ascii="Arial" w:hAnsi="Arial" w:cs="Arial"/>
          <w:b/>
          <w:iCs/>
          <w:sz w:val="22"/>
          <w:szCs w:val="22"/>
        </w:rPr>
        <w:t>€</w:t>
      </w:r>
      <w:r w:rsidRPr="00701BD4">
        <w:rPr>
          <w:rFonts w:ascii="Arial" w:hAnsi="Arial" w:cs="Arial"/>
          <w:iCs/>
          <w:sz w:val="22"/>
          <w:szCs w:val="22"/>
        </w:rPr>
        <w:t xml:space="preserve"> και </w:t>
      </w:r>
      <w:r>
        <w:rPr>
          <w:rFonts w:ascii="Arial" w:hAnsi="Arial" w:cs="Arial"/>
          <w:iCs/>
          <w:sz w:val="22"/>
          <w:szCs w:val="22"/>
        </w:rPr>
        <w:t xml:space="preserve">  διαμορφώνεται </w:t>
      </w:r>
      <w:r w:rsidRPr="00701BD4">
        <w:rPr>
          <w:rFonts w:ascii="Arial" w:hAnsi="Arial" w:cs="Arial"/>
          <w:iCs/>
          <w:sz w:val="22"/>
          <w:szCs w:val="22"/>
        </w:rPr>
        <w:t xml:space="preserve"> </w:t>
      </w:r>
      <w:r w:rsidRPr="00701BD4">
        <w:rPr>
          <w:rFonts w:ascii="Arial" w:hAnsi="Arial" w:cs="Arial"/>
          <w:b/>
          <w:bCs/>
          <w:iCs/>
          <w:sz w:val="22"/>
          <w:szCs w:val="22"/>
        </w:rPr>
        <w:t xml:space="preserve">στα </w:t>
      </w:r>
      <w:r w:rsidR="00F93760">
        <w:rPr>
          <w:rFonts w:ascii="Arial" w:hAnsi="Arial" w:cs="Arial"/>
          <w:b/>
          <w:bCs/>
          <w:iCs/>
          <w:sz w:val="22"/>
          <w:szCs w:val="22"/>
        </w:rPr>
        <w:t>64.508,73</w:t>
      </w:r>
      <w:r w:rsidRPr="00701BD4">
        <w:rPr>
          <w:rFonts w:ascii="Arial" w:hAnsi="Arial" w:cs="Arial"/>
          <w:b/>
          <w:bCs/>
          <w:iCs/>
          <w:sz w:val="22"/>
          <w:szCs w:val="22"/>
        </w:rPr>
        <w:t>€.</w:t>
      </w:r>
    </w:p>
    <w:p w:rsidR="00344509" w:rsidRPr="00E77FC0" w:rsidRDefault="00344509" w:rsidP="00B474E7">
      <w:pPr>
        <w:pStyle w:val="a8"/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shd w:val="clear" w:color="auto" w:fill="FFFFFF"/>
        </w:rPr>
      </w:pPr>
      <w:r w:rsidRPr="00E77FC0">
        <w:rPr>
          <w:rFonts w:ascii="Arial" w:hAnsi="Arial" w:cs="Arial"/>
          <w:iCs/>
          <w:sz w:val="22"/>
          <w:szCs w:val="22"/>
        </w:rPr>
        <w:t>Ο προϋπολογισμός 2020, μετά την παραπάνω αναμόρφ</w:t>
      </w:r>
      <w:r w:rsidR="00B474E7">
        <w:rPr>
          <w:rFonts w:ascii="Arial" w:hAnsi="Arial" w:cs="Arial"/>
          <w:iCs/>
          <w:sz w:val="22"/>
          <w:szCs w:val="22"/>
        </w:rPr>
        <w:t xml:space="preserve">ωση, </w:t>
      </w:r>
      <w:r w:rsidRPr="00E77FC0">
        <w:rPr>
          <w:rFonts w:ascii="Arial" w:hAnsi="Arial" w:cs="Arial"/>
          <w:iCs/>
          <w:sz w:val="22"/>
          <w:szCs w:val="22"/>
        </w:rPr>
        <w:t>ανέρχεται στα 27.</w:t>
      </w:r>
      <w:r w:rsidR="00F93760">
        <w:rPr>
          <w:rFonts w:ascii="Arial" w:hAnsi="Arial" w:cs="Arial"/>
          <w:iCs/>
          <w:sz w:val="22"/>
          <w:szCs w:val="22"/>
        </w:rPr>
        <w:t>329.246,03</w:t>
      </w:r>
      <w:r w:rsidRPr="00E77FC0">
        <w:rPr>
          <w:rFonts w:ascii="Arial" w:hAnsi="Arial" w:cs="Arial"/>
          <w:bCs/>
          <w:iCs/>
          <w:sz w:val="22"/>
          <w:szCs w:val="22"/>
        </w:rPr>
        <w:t>€</w:t>
      </w:r>
      <w:r w:rsidRPr="00E77FC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E77FC0"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E77FC0">
        <w:rPr>
          <w:rStyle w:val="af0"/>
          <w:rFonts w:ascii="Arial" w:hAnsi="Arial" w:cs="Arial"/>
          <w:iCs/>
          <w:sz w:val="22"/>
          <w:szCs w:val="22"/>
        </w:rPr>
        <w:t>οικ. 55905/29.07.2019</w:t>
      </w:r>
      <w:r w:rsidRPr="00E77FC0">
        <w:rPr>
          <w:rFonts w:ascii="Arial" w:hAnsi="Arial" w:cs="Arial"/>
          <w:iCs/>
          <w:sz w:val="22"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E77FC0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E77FC0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344509" w:rsidRPr="00AA7379" w:rsidRDefault="00344509" w:rsidP="00B474E7">
      <w:pPr>
        <w:tabs>
          <w:tab w:val="left" w:pos="6237"/>
        </w:tabs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AA7379">
        <w:rPr>
          <w:rFonts w:ascii="Arial" w:eastAsia="Calibri" w:hAnsi="Arial" w:cs="Arial"/>
          <w:b/>
          <w:bCs/>
          <w:sz w:val="22"/>
          <w:szCs w:val="22"/>
        </w:rPr>
        <w:tab/>
      </w:r>
      <w:r w:rsidRPr="00AA7379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344509" w:rsidRDefault="00066C12" w:rsidP="00B474E7">
      <w:pPr>
        <w:pStyle w:val="a5"/>
        <w:spacing w:line="276" w:lineRule="auto"/>
        <w:jc w:val="both"/>
        <w:rPr>
          <w:rStyle w:val="af0"/>
          <w:rFonts w:eastAsia="SimSun" w:cs="Arial"/>
          <w:b w:val="0"/>
          <w:bCs w:val="0"/>
          <w:iCs/>
          <w:kern w:val="1"/>
          <w:szCs w:val="22"/>
          <w:shd w:val="clear" w:color="auto" w:fill="FFFFFF"/>
          <w:lang w:bidi="hi-IN"/>
        </w:rPr>
      </w:pPr>
      <w:r>
        <w:rPr>
          <w:rStyle w:val="af0"/>
          <w:rFonts w:eastAsia="SimSun" w:cs="Arial"/>
          <w:iCs/>
          <w:kern w:val="1"/>
          <w:szCs w:val="22"/>
          <w:shd w:val="clear" w:color="auto" w:fill="FFFFFF"/>
          <w:lang w:bidi="hi-IN"/>
        </w:rPr>
        <w:t xml:space="preserve"> </w:t>
      </w:r>
      <w:r w:rsidR="00344509">
        <w:rPr>
          <w:rStyle w:val="af0"/>
          <w:rFonts w:eastAsia="SimSun" w:cs="Arial"/>
          <w:iCs/>
          <w:kern w:val="1"/>
          <w:szCs w:val="22"/>
          <w:shd w:val="clear" w:color="auto" w:fill="FFFFFF"/>
          <w:lang w:bidi="hi-IN"/>
        </w:rPr>
        <w:t>Το Δ.Σ. εξουσιοδοτεί το</w:t>
      </w:r>
      <w:r w:rsidR="00344509" w:rsidRPr="00AA7379">
        <w:rPr>
          <w:rStyle w:val="af0"/>
          <w:rFonts w:eastAsia="SimSun" w:cs="Arial"/>
          <w:iCs/>
          <w:kern w:val="1"/>
          <w:szCs w:val="22"/>
          <w:shd w:val="clear" w:color="auto" w:fill="FFFFFF"/>
          <w:lang w:bidi="hi-IN"/>
        </w:rPr>
        <w:t xml:space="preserve">ν  Δήμαρχο να υποβάλλει στον Συντονιστή της Αποκεντρωμένης </w:t>
      </w:r>
      <w:r>
        <w:rPr>
          <w:rStyle w:val="af0"/>
          <w:rFonts w:eastAsia="SimSun" w:cs="Arial"/>
          <w:iCs/>
          <w:kern w:val="1"/>
          <w:szCs w:val="22"/>
          <w:shd w:val="clear" w:color="auto" w:fill="FFFFFF"/>
          <w:lang w:bidi="hi-IN"/>
        </w:rPr>
        <w:t xml:space="preserve"> </w:t>
      </w:r>
      <w:r w:rsidR="00344509" w:rsidRPr="00AA7379">
        <w:rPr>
          <w:rStyle w:val="af0"/>
          <w:rFonts w:eastAsia="SimSun" w:cs="Arial"/>
          <w:iCs/>
          <w:kern w:val="1"/>
          <w:szCs w:val="22"/>
          <w:shd w:val="clear" w:color="auto" w:fill="FFFFFF"/>
          <w:lang w:bidi="hi-IN"/>
        </w:rPr>
        <w:t>Διοίκησης Θεσσαλίας – Στερεάς Ελλάδας επικυρωμένο αντίγραφο της απόφασης αυτής.</w:t>
      </w:r>
    </w:p>
    <w:p w:rsidR="00B97418" w:rsidRDefault="003604BC" w:rsidP="003604BC">
      <w:pPr>
        <w:tabs>
          <w:tab w:val="left" w:pos="4110"/>
          <w:tab w:val="left" w:pos="4140"/>
        </w:tabs>
        <w:spacing w:before="120" w:after="120" w:line="360" w:lineRule="auto"/>
        <w:ind w:right="-199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shd w:val="clear" w:color="auto" w:fill="FFFFFF"/>
          <w:lang w:bidi="hi-IN"/>
        </w:rPr>
        <w:t xml:space="preserve">              </w:t>
      </w:r>
      <w:r w:rsidR="00130150">
        <w:rPr>
          <w:rFonts w:ascii="Arial" w:eastAsia="Bookman Old Style" w:hAnsi="Arial" w:cs="Arial"/>
          <w:bCs/>
          <w:sz w:val="22"/>
          <w:szCs w:val="22"/>
        </w:rPr>
        <w:t xml:space="preserve"> </w:t>
      </w:r>
      <w:r w:rsidR="00B97418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780685">
        <w:rPr>
          <w:rFonts w:ascii="Arial" w:eastAsia="Arial" w:hAnsi="Arial" w:cs="Arial"/>
          <w:b/>
          <w:bCs/>
          <w:iCs/>
          <w:sz w:val="22"/>
          <w:szCs w:val="22"/>
        </w:rPr>
        <w:t>1</w:t>
      </w:r>
      <w:r w:rsidR="00F93760">
        <w:rPr>
          <w:rFonts w:ascii="Arial" w:eastAsia="Arial" w:hAnsi="Arial" w:cs="Arial"/>
          <w:b/>
          <w:bCs/>
          <w:iCs/>
          <w:sz w:val="22"/>
          <w:szCs w:val="22"/>
        </w:rPr>
        <w:t>51</w:t>
      </w:r>
    </w:p>
    <w:p w:rsidR="009222C6" w:rsidRDefault="003604BC" w:rsidP="00B474E7">
      <w:pPr>
        <w:pStyle w:val="a5"/>
        <w:tabs>
          <w:tab w:val="center" w:pos="1080"/>
          <w:tab w:val="center" w:pos="7920"/>
        </w:tabs>
        <w:spacing w:line="276" w:lineRule="auto"/>
      </w:pPr>
      <w:r>
        <w:t xml:space="preserve"> </w:t>
      </w:r>
      <w:r w:rsidR="009222C6">
        <w:rPr>
          <w:rFonts w:eastAsia="Arial" w:cs="Arial"/>
          <w:b/>
          <w:bCs/>
          <w:color w:val="00000A"/>
          <w:szCs w:val="22"/>
        </w:rPr>
        <w:t xml:space="preserve">      </w:t>
      </w:r>
      <w:r w:rsidR="009222C6">
        <w:rPr>
          <w:rFonts w:cs="Arial"/>
          <w:b/>
          <w:bCs/>
          <w:color w:val="00000A"/>
          <w:szCs w:val="22"/>
        </w:rPr>
        <w:t>Ο Πρόεδρος του Δ.Σ.</w:t>
      </w: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</w:t>
      </w:r>
    </w:p>
    <w:tbl>
      <w:tblPr>
        <w:tblW w:w="9154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6"/>
        <w:gridCol w:w="4938"/>
      </w:tblGrid>
      <w:tr w:rsidR="0044391E" w:rsidTr="0044391E">
        <w:tc>
          <w:tcPr>
            <w:tcW w:w="4216" w:type="dxa"/>
          </w:tcPr>
          <w:p w:rsidR="0044391E" w:rsidRPr="00D30514" w:rsidRDefault="00E61983" w:rsidP="00344509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>ΤΑ ΜΕΛΗ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344509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2457EA" w:rsidRDefault="00686E07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2457EA">
              <w:rPr>
                <w:rFonts w:ascii="Arial" w:eastAsia="Arial" w:hAnsi="Arial" w:cs="Arial"/>
                <w:sz w:val="22"/>
                <w:szCs w:val="22"/>
              </w:rPr>
              <w:t xml:space="preserve">      ΙΩΑΝΝΗΣ .Δ. ΤΑΓΚΑΛΕΓΚΑΣ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066C12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291" w:rsidRDefault="008D0291">
      <w:r>
        <w:separator/>
      </w:r>
    </w:p>
  </w:endnote>
  <w:endnote w:type="continuationSeparator" w:id="0">
    <w:p w:rsidR="008D0291" w:rsidRDefault="008D0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7E" w:rsidRDefault="005E2E71">
    <w:pPr>
      <w:pStyle w:val="a3"/>
      <w:jc w:val="center"/>
    </w:pPr>
    <w:fldSimple w:instr=" PAGE   \* MERGEFORMAT ">
      <w:r w:rsidR="00FA58F7">
        <w:rPr>
          <w:noProof/>
        </w:rPr>
        <w:t>1</w:t>
      </w:r>
    </w:fldSimple>
  </w:p>
  <w:p w:rsidR="0082077E" w:rsidRDefault="008207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291" w:rsidRDefault="008D0291">
      <w:r>
        <w:separator/>
      </w:r>
    </w:p>
  </w:footnote>
  <w:footnote w:type="continuationSeparator" w:id="0">
    <w:p w:rsidR="008D0291" w:rsidRDefault="008D0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4D1F698B"/>
    <w:multiLevelType w:val="hybridMultilevel"/>
    <w:tmpl w:val="24ECB4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981"/>
    <w:rsid w:val="00016D41"/>
    <w:rsid w:val="00017572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714F"/>
    <w:rsid w:val="00057497"/>
    <w:rsid w:val="00057DDC"/>
    <w:rsid w:val="0006215A"/>
    <w:rsid w:val="00062765"/>
    <w:rsid w:val="00063237"/>
    <w:rsid w:val="00065F13"/>
    <w:rsid w:val="00066C12"/>
    <w:rsid w:val="0007190F"/>
    <w:rsid w:val="00072D22"/>
    <w:rsid w:val="000733BE"/>
    <w:rsid w:val="00075D7B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B36FE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0E00"/>
    <w:rsid w:val="00171B8C"/>
    <w:rsid w:val="00184BE7"/>
    <w:rsid w:val="00185388"/>
    <w:rsid w:val="001A091D"/>
    <w:rsid w:val="001A0D36"/>
    <w:rsid w:val="001B1A92"/>
    <w:rsid w:val="001B4CC7"/>
    <w:rsid w:val="001B7BD0"/>
    <w:rsid w:val="001C0F9B"/>
    <w:rsid w:val="001C104F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F23C9"/>
    <w:rsid w:val="001F5341"/>
    <w:rsid w:val="001F5775"/>
    <w:rsid w:val="001F7AC1"/>
    <w:rsid w:val="00201C60"/>
    <w:rsid w:val="002041C6"/>
    <w:rsid w:val="0020635F"/>
    <w:rsid w:val="002134CE"/>
    <w:rsid w:val="00215858"/>
    <w:rsid w:val="00217925"/>
    <w:rsid w:val="0022030A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5B38"/>
    <w:rsid w:val="0027625D"/>
    <w:rsid w:val="00281897"/>
    <w:rsid w:val="00285047"/>
    <w:rsid w:val="002918C9"/>
    <w:rsid w:val="00291AC0"/>
    <w:rsid w:val="0029299E"/>
    <w:rsid w:val="00292BD6"/>
    <w:rsid w:val="00293876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4E8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1636B"/>
    <w:rsid w:val="003165A7"/>
    <w:rsid w:val="00316E8F"/>
    <w:rsid w:val="00321443"/>
    <w:rsid w:val="0032279B"/>
    <w:rsid w:val="003243EE"/>
    <w:rsid w:val="003326E0"/>
    <w:rsid w:val="00333C49"/>
    <w:rsid w:val="00335363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654C"/>
    <w:rsid w:val="00376F9D"/>
    <w:rsid w:val="00377D74"/>
    <w:rsid w:val="00380062"/>
    <w:rsid w:val="00385D9D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26C8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3015"/>
    <w:rsid w:val="00434D15"/>
    <w:rsid w:val="004353FD"/>
    <w:rsid w:val="0043779F"/>
    <w:rsid w:val="00441134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37BD"/>
    <w:rsid w:val="00466016"/>
    <w:rsid w:val="00466905"/>
    <w:rsid w:val="00470AA4"/>
    <w:rsid w:val="00475438"/>
    <w:rsid w:val="0047685D"/>
    <w:rsid w:val="004802FB"/>
    <w:rsid w:val="0048129A"/>
    <w:rsid w:val="004833DB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6624"/>
    <w:rsid w:val="0053135F"/>
    <w:rsid w:val="0053234B"/>
    <w:rsid w:val="00535968"/>
    <w:rsid w:val="00536443"/>
    <w:rsid w:val="005371AA"/>
    <w:rsid w:val="00544CE9"/>
    <w:rsid w:val="00547E3D"/>
    <w:rsid w:val="00550502"/>
    <w:rsid w:val="0055075E"/>
    <w:rsid w:val="005521C6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D20"/>
    <w:rsid w:val="005A064E"/>
    <w:rsid w:val="005A0EE0"/>
    <w:rsid w:val="005A30CE"/>
    <w:rsid w:val="005A425B"/>
    <w:rsid w:val="005A489D"/>
    <w:rsid w:val="005A5116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4E2D"/>
    <w:rsid w:val="005D61CA"/>
    <w:rsid w:val="005D77B1"/>
    <w:rsid w:val="005E1600"/>
    <w:rsid w:val="005E2E71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86E07"/>
    <w:rsid w:val="00690733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B6CFB"/>
    <w:rsid w:val="006C1B10"/>
    <w:rsid w:val="006D2737"/>
    <w:rsid w:val="006D2EE8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4663B"/>
    <w:rsid w:val="00751A6B"/>
    <w:rsid w:val="00755FF3"/>
    <w:rsid w:val="007565BC"/>
    <w:rsid w:val="00756B41"/>
    <w:rsid w:val="0075771F"/>
    <w:rsid w:val="007645C6"/>
    <w:rsid w:val="00766F7B"/>
    <w:rsid w:val="00771ACF"/>
    <w:rsid w:val="007726E8"/>
    <w:rsid w:val="0077373F"/>
    <w:rsid w:val="007741D4"/>
    <w:rsid w:val="0077565C"/>
    <w:rsid w:val="00780685"/>
    <w:rsid w:val="00780AE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077E"/>
    <w:rsid w:val="0082139A"/>
    <w:rsid w:val="0082336D"/>
    <w:rsid w:val="00823B1B"/>
    <w:rsid w:val="0082736C"/>
    <w:rsid w:val="008310E0"/>
    <w:rsid w:val="00831808"/>
    <w:rsid w:val="00831E04"/>
    <w:rsid w:val="00834B34"/>
    <w:rsid w:val="00835D34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2583"/>
    <w:rsid w:val="008633D1"/>
    <w:rsid w:val="008665CB"/>
    <w:rsid w:val="0086744B"/>
    <w:rsid w:val="0086749E"/>
    <w:rsid w:val="00867B53"/>
    <w:rsid w:val="0087024E"/>
    <w:rsid w:val="0087446F"/>
    <w:rsid w:val="00876DC4"/>
    <w:rsid w:val="00877F0B"/>
    <w:rsid w:val="00883020"/>
    <w:rsid w:val="00892249"/>
    <w:rsid w:val="008A5DBE"/>
    <w:rsid w:val="008A7C07"/>
    <w:rsid w:val="008B00FF"/>
    <w:rsid w:val="008B1F2D"/>
    <w:rsid w:val="008B2A64"/>
    <w:rsid w:val="008B37A1"/>
    <w:rsid w:val="008B3C7A"/>
    <w:rsid w:val="008B43D3"/>
    <w:rsid w:val="008B6151"/>
    <w:rsid w:val="008B6F1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0619F"/>
    <w:rsid w:val="009114A8"/>
    <w:rsid w:val="0091172C"/>
    <w:rsid w:val="0091191D"/>
    <w:rsid w:val="0091222C"/>
    <w:rsid w:val="0091462A"/>
    <w:rsid w:val="00916118"/>
    <w:rsid w:val="0091646C"/>
    <w:rsid w:val="00916A73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647F"/>
    <w:rsid w:val="009501B6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6AFB"/>
    <w:rsid w:val="009C72A0"/>
    <w:rsid w:val="009D3236"/>
    <w:rsid w:val="009D3BE5"/>
    <w:rsid w:val="009D5C26"/>
    <w:rsid w:val="009D6A8E"/>
    <w:rsid w:val="009E10A4"/>
    <w:rsid w:val="009E4F33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61832"/>
    <w:rsid w:val="00A61840"/>
    <w:rsid w:val="00A63E3E"/>
    <w:rsid w:val="00A64190"/>
    <w:rsid w:val="00A721FA"/>
    <w:rsid w:val="00A76AE6"/>
    <w:rsid w:val="00A815A7"/>
    <w:rsid w:val="00A82CDD"/>
    <w:rsid w:val="00A848AD"/>
    <w:rsid w:val="00A84C12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5E48"/>
    <w:rsid w:val="00AD0B65"/>
    <w:rsid w:val="00AD1EA4"/>
    <w:rsid w:val="00AD2A26"/>
    <w:rsid w:val="00AD3194"/>
    <w:rsid w:val="00AD439D"/>
    <w:rsid w:val="00AD7600"/>
    <w:rsid w:val="00AD780E"/>
    <w:rsid w:val="00AE4547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97418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201A8"/>
    <w:rsid w:val="00C2062A"/>
    <w:rsid w:val="00C230AF"/>
    <w:rsid w:val="00C262A5"/>
    <w:rsid w:val="00C31CCA"/>
    <w:rsid w:val="00C32C4F"/>
    <w:rsid w:val="00C33F47"/>
    <w:rsid w:val="00C4222D"/>
    <w:rsid w:val="00C42504"/>
    <w:rsid w:val="00C45ECC"/>
    <w:rsid w:val="00C4705C"/>
    <w:rsid w:val="00C47F7C"/>
    <w:rsid w:val="00C540DF"/>
    <w:rsid w:val="00C61D41"/>
    <w:rsid w:val="00C63121"/>
    <w:rsid w:val="00C667C1"/>
    <w:rsid w:val="00C66ABA"/>
    <w:rsid w:val="00C708FE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D297C"/>
    <w:rsid w:val="00CD4A8F"/>
    <w:rsid w:val="00CD637F"/>
    <w:rsid w:val="00CD77C0"/>
    <w:rsid w:val="00CD7B13"/>
    <w:rsid w:val="00CE06A3"/>
    <w:rsid w:val="00CE394C"/>
    <w:rsid w:val="00CE514E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6629F"/>
    <w:rsid w:val="00D710A6"/>
    <w:rsid w:val="00D7412E"/>
    <w:rsid w:val="00D74762"/>
    <w:rsid w:val="00D824C9"/>
    <w:rsid w:val="00D83A26"/>
    <w:rsid w:val="00D860F4"/>
    <w:rsid w:val="00D902B2"/>
    <w:rsid w:val="00D917ED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975"/>
    <w:rsid w:val="00DF7C63"/>
    <w:rsid w:val="00E00803"/>
    <w:rsid w:val="00E010A1"/>
    <w:rsid w:val="00E06955"/>
    <w:rsid w:val="00E13E40"/>
    <w:rsid w:val="00E13E79"/>
    <w:rsid w:val="00E21EB3"/>
    <w:rsid w:val="00E22BD2"/>
    <w:rsid w:val="00E254BC"/>
    <w:rsid w:val="00E2709E"/>
    <w:rsid w:val="00E307D9"/>
    <w:rsid w:val="00E30CA0"/>
    <w:rsid w:val="00E313AA"/>
    <w:rsid w:val="00E32C3B"/>
    <w:rsid w:val="00E35709"/>
    <w:rsid w:val="00E40EE7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5FD1"/>
    <w:rsid w:val="00E61983"/>
    <w:rsid w:val="00E6479F"/>
    <w:rsid w:val="00E7390E"/>
    <w:rsid w:val="00E73B1B"/>
    <w:rsid w:val="00E73E4B"/>
    <w:rsid w:val="00E77E43"/>
    <w:rsid w:val="00E77FC0"/>
    <w:rsid w:val="00E80E86"/>
    <w:rsid w:val="00E80F57"/>
    <w:rsid w:val="00E81037"/>
    <w:rsid w:val="00E83192"/>
    <w:rsid w:val="00E84165"/>
    <w:rsid w:val="00E85147"/>
    <w:rsid w:val="00E90B9B"/>
    <w:rsid w:val="00E92F8D"/>
    <w:rsid w:val="00E93384"/>
    <w:rsid w:val="00E95196"/>
    <w:rsid w:val="00EA165F"/>
    <w:rsid w:val="00EB22CB"/>
    <w:rsid w:val="00EB2DDC"/>
    <w:rsid w:val="00EB4CFF"/>
    <w:rsid w:val="00EB69F5"/>
    <w:rsid w:val="00EB6EAB"/>
    <w:rsid w:val="00EC1D9B"/>
    <w:rsid w:val="00EC6605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70C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3BF0"/>
    <w:rsid w:val="00F04A64"/>
    <w:rsid w:val="00F078A9"/>
    <w:rsid w:val="00F0796A"/>
    <w:rsid w:val="00F11324"/>
    <w:rsid w:val="00F12BC1"/>
    <w:rsid w:val="00F1329C"/>
    <w:rsid w:val="00F1559E"/>
    <w:rsid w:val="00F1600A"/>
    <w:rsid w:val="00F16932"/>
    <w:rsid w:val="00F17EE8"/>
    <w:rsid w:val="00F2078B"/>
    <w:rsid w:val="00F21261"/>
    <w:rsid w:val="00F24A14"/>
    <w:rsid w:val="00F27BF9"/>
    <w:rsid w:val="00F32013"/>
    <w:rsid w:val="00F34243"/>
    <w:rsid w:val="00F36EFC"/>
    <w:rsid w:val="00F4089F"/>
    <w:rsid w:val="00F4245E"/>
    <w:rsid w:val="00F430B1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85BA9"/>
    <w:rsid w:val="00F86BB9"/>
    <w:rsid w:val="00F93760"/>
    <w:rsid w:val="00F9464D"/>
    <w:rsid w:val="00F959F0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D7850"/>
    <w:rsid w:val="00FE0E4D"/>
    <w:rsid w:val="00FE2151"/>
    <w:rsid w:val="00FE457D"/>
    <w:rsid w:val="00FF062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semiHidden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semiHidden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9222C6"/>
    <w:rPr>
      <w:rFonts w:cs="Times New Roman"/>
      <w:b/>
      <w:bCs/>
    </w:rPr>
  </w:style>
  <w:style w:type="table" w:styleId="af1">
    <w:name w:val="Table Grid"/>
    <w:basedOn w:val="a1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B98A617-A704-4C30-9C76-F928861D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2173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10</cp:revision>
  <cp:lastPrinted>2020-09-17T11:52:00Z</cp:lastPrinted>
  <dcterms:created xsi:type="dcterms:W3CDTF">2020-09-17T10:20:00Z</dcterms:created>
  <dcterms:modified xsi:type="dcterms:W3CDTF">2020-09-18T07:25:00Z</dcterms:modified>
</cp:coreProperties>
</file>